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646AB" w14:textId="5D2FB083" w:rsidR="00992DA6" w:rsidRDefault="00992DA6" w:rsidP="00603A7B">
      <w:pPr>
        <w:suppressAutoHyphens/>
        <w:spacing w:after="0" w:line="276" w:lineRule="auto"/>
        <w:jc w:val="center"/>
        <w:rPr>
          <w:rFonts w:ascii="Times New Roman" w:eastAsia="font226" w:hAnsi="Times New Roman"/>
          <w:color w:val="00000A"/>
          <w:kern w:val="2"/>
          <w:lang w:val="ru-RU" w:eastAsia="zh-CN"/>
        </w:rPr>
      </w:pPr>
      <w:proofErr w:type="gramStart"/>
      <w:r>
        <w:rPr>
          <w:rFonts w:ascii="Times New Roman" w:eastAsia="font226" w:hAnsi="Times New Roman"/>
          <w:b/>
          <w:color w:val="00000A"/>
          <w:kern w:val="2"/>
          <w:sz w:val="28"/>
          <w:szCs w:val="28"/>
          <w:lang w:val="ru-RU" w:eastAsia="zh-CN"/>
        </w:rPr>
        <w:t>БОРЩАГІВСЬКА  СІЛЬСЬКА</w:t>
      </w:r>
      <w:proofErr w:type="gramEnd"/>
      <w:r>
        <w:rPr>
          <w:rFonts w:ascii="Times New Roman" w:eastAsia="font226" w:hAnsi="Times New Roman"/>
          <w:b/>
          <w:color w:val="00000A"/>
          <w:kern w:val="2"/>
          <w:sz w:val="28"/>
          <w:szCs w:val="28"/>
          <w:lang w:val="ru-RU" w:eastAsia="zh-CN"/>
        </w:rPr>
        <w:t xml:space="preserve">  РАДА  БУЧАНСЬКОГО  РАЙОНУ</w:t>
      </w:r>
    </w:p>
    <w:p w14:paraId="27E1E5F0" w14:textId="77777777" w:rsidR="00992DA6" w:rsidRDefault="00992DA6" w:rsidP="00603A7B">
      <w:pPr>
        <w:suppressAutoHyphens/>
        <w:spacing w:after="0" w:line="276" w:lineRule="auto"/>
        <w:jc w:val="center"/>
        <w:rPr>
          <w:rFonts w:eastAsia="font226" w:cs="font226"/>
          <w:color w:val="00000A"/>
          <w:kern w:val="2"/>
          <w:lang w:val="ru-RU" w:eastAsia="zh-CN"/>
        </w:rPr>
      </w:pPr>
      <w:proofErr w:type="gramStart"/>
      <w:r>
        <w:rPr>
          <w:rFonts w:ascii="Times New Roman" w:eastAsia="font226" w:hAnsi="Times New Roman"/>
          <w:b/>
          <w:color w:val="00000A"/>
          <w:kern w:val="2"/>
          <w:sz w:val="28"/>
          <w:szCs w:val="28"/>
          <w:lang w:val="ru-RU" w:eastAsia="zh-CN"/>
        </w:rPr>
        <w:t>КИЇВСЬКОЇ  ОБЛАСТІ</w:t>
      </w:r>
      <w:proofErr w:type="gramEnd"/>
    </w:p>
    <w:p w14:paraId="203EFD88" w14:textId="77777777" w:rsidR="00992DA6" w:rsidRDefault="00992DA6" w:rsidP="00603A7B">
      <w:pPr>
        <w:suppressAutoHyphens/>
        <w:spacing w:after="0" w:line="276" w:lineRule="auto"/>
        <w:jc w:val="center"/>
        <w:rPr>
          <w:rFonts w:ascii="Times New Roman" w:eastAsia="font226" w:hAnsi="Times New Roman"/>
          <w:b/>
          <w:color w:val="00000A"/>
          <w:kern w:val="2"/>
          <w:sz w:val="28"/>
          <w:szCs w:val="28"/>
          <w:lang w:val="ru-RU" w:eastAsia="zh-CN"/>
        </w:rPr>
      </w:pPr>
    </w:p>
    <w:p w14:paraId="2B911FFA" w14:textId="0CDAFB39" w:rsidR="00992DA6" w:rsidRDefault="00992DA6" w:rsidP="00603A7B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color w:val="00000A"/>
          <w:kern w:val="2"/>
          <w:sz w:val="28"/>
          <w:szCs w:val="28"/>
          <w:lang w:val="ru-RU" w:eastAsia="zh-CN"/>
        </w:rPr>
      </w:pPr>
      <w:r>
        <w:rPr>
          <w:rFonts w:ascii="Times New Roman" w:hAnsi="Times New Roman"/>
          <w:b/>
          <w:color w:val="00000A"/>
          <w:kern w:val="2"/>
          <w:sz w:val="28"/>
          <w:szCs w:val="28"/>
          <w:lang w:val="ru-RU" w:eastAsia="zh-CN"/>
        </w:rPr>
        <w:t>УПРАВЛІННЯ ОСВІТИ, КУЛЬТУРИ, МОЛОДІ ТА СПОРТУ</w:t>
      </w:r>
    </w:p>
    <w:p w14:paraId="47E45FB2" w14:textId="1F380D07" w:rsidR="00992DA6" w:rsidRDefault="00992DA6" w:rsidP="00603A7B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color w:val="00000A"/>
          <w:kern w:val="2"/>
          <w:sz w:val="28"/>
          <w:szCs w:val="28"/>
          <w:lang w:val="ru-RU" w:eastAsia="zh-CN"/>
        </w:rPr>
      </w:pPr>
    </w:p>
    <w:p w14:paraId="44588575" w14:textId="1B23A1EC" w:rsidR="00992DA6" w:rsidRDefault="00603A7B" w:rsidP="00603A7B">
      <w:pPr>
        <w:keepNext/>
        <w:widowControl w:val="0"/>
        <w:suppressAutoHyphens/>
        <w:spacing w:after="0" w:line="240" w:lineRule="auto"/>
        <w:ind w:firstLine="282"/>
        <w:outlineLvl w:val="0"/>
        <w:rPr>
          <w:rFonts w:ascii="Times New Roman" w:hAnsi="Times New Roman"/>
          <w:b/>
          <w:color w:val="00000A"/>
          <w:kern w:val="2"/>
          <w:sz w:val="28"/>
          <w:szCs w:val="28"/>
          <w:lang w:val="ru-RU" w:eastAsia="zh-CN"/>
        </w:rPr>
      </w:pPr>
      <w:r>
        <w:rPr>
          <w:rFonts w:ascii="Times New Roman" w:hAnsi="Times New Roman"/>
          <w:b/>
          <w:color w:val="00000A"/>
          <w:kern w:val="2"/>
          <w:sz w:val="28"/>
          <w:szCs w:val="28"/>
          <w:lang w:val="ru-RU" w:eastAsia="zh-CN"/>
        </w:rPr>
        <w:t xml:space="preserve">                                                       </w:t>
      </w:r>
      <w:r w:rsidR="00992DA6">
        <w:rPr>
          <w:rFonts w:ascii="Times New Roman" w:hAnsi="Times New Roman"/>
          <w:b/>
          <w:color w:val="00000A"/>
          <w:kern w:val="2"/>
          <w:sz w:val="28"/>
          <w:szCs w:val="28"/>
          <w:lang w:val="ru-RU" w:eastAsia="zh-CN"/>
        </w:rPr>
        <w:t>Н А К А З</w:t>
      </w:r>
    </w:p>
    <w:p w14:paraId="2C434D46" w14:textId="77777777" w:rsidR="00992DA6" w:rsidRDefault="00992DA6" w:rsidP="00C86D34">
      <w:pPr>
        <w:suppressAutoHyphens/>
        <w:spacing w:after="0" w:line="276" w:lineRule="auto"/>
        <w:rPr>
          <w:rFonts w:ascii="Times New Roman" w:eastAsia="font226" w:hAnsi="Times New Roman"/>
          <w:b/>
          <w:color w:val="00000A"/>
          <w:kern w:val="2"/>
          <w:sz w:val="28"/>
          <w:szCs w:val="28"/>
          <w:lang w:val="ru-RU" w:eastAsia="zh-CN"/>
        </w:rPr>
      </w:pPr>
    </w:p>
    <w:p w14:paraId="4B97DA33" w14:textId="09938821" w:rsidR="00803608" w:rsidRDefault="00992DA6" w:rsidP="00603A7B">
      <w:pPr>
        <w:suppressAutoHyphens/>
        <w:spacing w:after="0" w:line="276" w:lineRule="auto"/>
        <w:jc w:val="both"/>
        <w:rPr>
          <w:rFonts w:ascii="Times New Roman" w:eastAsia="font226" w:hAnsi="Times New Roman"/>
          <w:b/>
          <w:bCs/>
          <w:color w:val="00000A"/>
          <w:kern w:val="2"/>
          <w:sz w:val="28"/>
          <w:szCs w:val="28"/>
          <w:lang w:eastAsia="zh-CN"/>
        </w:rPr>
      </w:pP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>від «16» червня 2025</w:t>
      </w:r>
      <w:r w:rsidR="005D4E14"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 xml:space="preserve"> року</w:t>
      </w: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ab/>
      </w: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ab/>
      </w: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ab/>
      </w: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ab/>
      </w: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ab/>
      </w: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ab/>
      </w:r>
      <w:r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ab/>
      </w:r>
      <w:r w:rsidR="00A11793"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 xml:space="preserve"> </w:t>
      </w:r>
      <w:r w:rsidR="000C5DEC">
        <w:rPr>
          <w:rFonts w:ascii="Times New Roman" w:eastAsia="font226" w:hAnsi="Times New Roman"/>
          <w:color w:val="00000A"/>
          <w:kern w:val="2"/>
          <w:sz w:val="28"/>
          <w:szCs w:val="28"/>
          <w:lang w:eastAsia="zh-CN"/>
        </w:rPr>
        <w:t xml:space="preserve">  </w:t>
      </w:r>
      <w:r w:rsidRPr="00992DA6">
        <w:rPr>
          <w:rFonts w:ascii="Times New Roman" w:eastAsia="font226" w:hAnsi="Times New Roman"/>
          <w:b/>
          <w:bCs/>
          <w:color w:val="00000A"/>
          <w:kern w:val="2"/>
          <w:sz w:val="28"/>
          <w:szCs w:val="28"/>
          <w:lang w:eastAsia="zh-CN"/>
        </w:rPr>
        <w:t>№ 209</w:t>
      </w:r>
    </w:p>
    <w:p w14:paraId="61BB489B" w14:textId="68DD4403" w:rsidR="008577E1" w:rsidRDefault="008577E1" w:rsidP="00992DA6">
      <w:pPr>
        <w:suppressAutoHyphens/>
        <w:spacing w:after="0" w:line="276" w:lineRule="auto"/>
        <w:jc w:val="both"/>
        <w:rPr>
          <w:rFonts w:ascii="Times New Roman" w:eastAsia="font226" w:hAnsi="Times New Roman"/>
          <w:b/>
          <w:bCs/>
          <w:color w:val="00000A"/>
          <w:kern w:val="2"/>
          <w:sz w:val="28"/>
          <w:szCs w:val="28"/>
          <w:lang w:eastAsia="zh-CN"/>
        </w:rPr>
      </w:pPr>
    </w:p>
    <w:p w14:paraId="27C08C63" w14:textId="77777777" w:rsidR="005D4E14" w:rsidRPr="005D4E14" w:rsidRDefault="005D4E14" w:rsidP="005D4E14">
      <w:pPr>
        <w:keepNext/>
        <w:keepLines/>
        <w:spacing w:after="0" w:line="240" w:lineRule="auto"/>
        <w:ind w:right="510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4E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хід виконання плану формування спроможної мережі закладів загальної середньої освіти </w:t>
      </w:r>
      <w:bookmarkStart w:id="0" w:name="_GoBack"/>
      <w:bookmarkEnd w:id="0"/>
      <w:r w:rsidRPr="005D4E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Борщагівської сільської ради Бучанського району Київської області на 2024/2027 роки</w:t>
      </w:r>
    </w:p>
    <w:p w14:paraId="20D67853" w14:textId="77777777" w:rsidR="005D4E14" w:rsidRPr="005D4E14" w:rsidRDefault="005D4E14" w:rsidP="005D4E14">
      <w:pPr>
        <w:keepNext/>
        <w:keepLines/>
        <w:spacing w:after="0" w:line="240" w:lineRule="auto"/>
        <w:ind w:right="5103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ED2D122" w14:textId="307E9B24" w:rsidR="005D4E14" w:rsidRPr="005D4E14" w:rsidRDefault="005D4E14" w:rsidP="005D4E14">
      <w:pPr>
        <w:keepNext/>
        <w:keepLines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5D4E14">
        <w:rPr>
          <w:rFonts w:ascii="Times New Roman" w:eastAsiaTheme="minorHAnsi" w:hAnsi="Times New Roman"/>
          <w:sz w:val="28"/>
          <w:szCs w:val="28"/>
        </w:rPr>
        <w:t xml:space="preserve">Відповідно до законів України «Про місцеве самоврядування»,                             «Про освіту», «Про повну загальну середню освіту», «Про внесення змін </w:t>
      </w:r>
      <w:r w:rsidR="00FA1500"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Pr="005D4E14">
        <w:rPr>
          <w:rFonts w:ascii="Times New Roman" w:eastAsiaTheme="minorHAnsi" w:hAnsi="Times New Roman"/>
          <w:sz w:val="28"/>
          <w:szCs w:val="28"/>
        </w:rPr>
        <w:t>до деяких законів України щодо вдосконалення механізмів формування мережі ліцеїв для запровадження якісної профільної середньої освіти»</w:t>
      </w:r>
      <w:r w:rsidR="00FA1500">
        <w:rPr>
          <w:rFonts w:ascii="Times New Roman" w:eastAsiaTheme="minorHAnsi" w:hAnsi="Times New Roman"/>
          <w:sz w:val="28"/>
          <w:szCs w:val="28"/>
        </w:rPr>
        <w:t>,</w:t>
      </w:r>
      <w:r w:rsidRPr="005D4E14">
        <w:rPr>
          <w:rFonts w:ascii="Times New Roman" w:eastAsiaTheme="minorHAnsi" w:hAnsi="Times New Roman"/>
          <w:sz w:val="28"/>
          <w:szCs w:val="28"/>
        </w:rPr>
        <w:t xml:space="preserve"> на виконання Плану формування спроможної мережі закладів загальної середньої освіти Борщагівської сільської ради Бучанського району Київської області                                  на 2024/2027 роки, затвердженого рішенням сесії Борщагівської сільської ради Бучанського району Київської області від 06 червня 2024 р. № 34-18-</w:t>
      </w:r>
      <w:r w:rsidRPr="005D4E14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Pr="005D4E14">
        <w:rPr>
          <w:rFonts w:ascii="Times New Roman" w:eastAsiaTheme="minorHAnsi" w:hAnsi="Times New Roman"/>
          <w:sz w:val="28"/>
          <w:szCs w:val="28"/>
        </w:rPr>
        <w:t xml:space="preserve">ІІІ, </w:t>
      </w:r>
      <w:r w:rsidR="006002E1">
        <w:rPr>
          <w:rFonts w:ascii="Times New Roman" w:eastAsiaTheme="minorHAnsi" w:hAnsi="Times New Roman"/>
          <w:sz w:val="28"/>
          <w:szCs w:val="28"/>
        </w:rPr>
        <w:t xml:space="preserve">                           </w:t>
      </w:r>
      <w:r>
        <w:rPr>
          <w:rFonts w:ascii="Times New Roman" w:eastAsiaTheme="minorHAnsi" w:hAnsi="Times New Roman"/>
          <w:sz w:val="28"/>
          <w:szCs w:val="28"/>
        </w:rPr>
        <w:t>з метою забезпечення якісної профільної середньої освіти, яка враховує потреби учнів та особливості громади, а також сприяти ефективності освітнього процесу т</w:t>
      </w:r>
      <w:r w:rsidR="00FA1500">
        <w:rPr>
          <w:rFonts w:ascii="Times New Roman" w:eastAsiaTheme="minorHAnsi" w:hAnsi="Times New Roman"/>
          <w:sz w:val="28"/>
          <w:szCs w:val="28"/>
        </w:rPr>
        <w:t xml:space="preserve">а доступності освіти для всіх, </w:t>
      </w:r>
      <w:r>
        <w:rPr>
          <w:rFonts w:ascii="Times New Roman" w:eastAsiaTheme="minorHAnsi" w:hAnsi="Times New Roman"/>
          <w:sz w:val="28"/>
          <w:szCs w:val="28"/>
        </w:rPr>
        <w:t xml:space="preserve">на виконання рішення колегії від 13 червня </w:t>
      </w:r>
      <w:r w:rsidR="006002E1">
        <w:rPr>
          <w:rFonts w:ascii="Times New Roman" w:eastAsiaTheme="minorHAnsi" w:hAnsi="Times New Roman"/>
          <w:sz w:val="28"/>
          <w:szCs w:val="28"/>
        </w:rPr>
        <w:t xml:space="preserve">                </w:t>
      </w:r>
      <w:r>
        <w:rPr>
          <w:rFonts w:ascii="Times New Roman" w:eastAsiaTheme="minorHAnsi" w:hAnsi="Times New Roman"/>
          <w:sz w:val="28"/>
          <w:szCs w:val="28"/>
        </w:rPr>
        <w:t xml:space="preserve">2025 року </w:t>
      </w:r>
      <w:r w:rsidR="006002E1">
        <w:rPr>
          <w:rFonts w:ascii="Times New Roman" w:eastAsiaTheme="minorHAnsi" w:hAnsi="Times New Roman"/>
          <w:sz w:val="28"/>
          <w:szCs w:val="28"/>
        </w:rPr>
        <w:t xml:space="preserve">(Протокол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="0051060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="006002E1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5D4E14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8ADDC0B" w14:textId="77777777" w:rsidR="005D4E14" w:rsidRPr="005D4E14" w:rsidRDefault="005D4E14" w:rsidP="005D4E14">
      <w:pPr>
        <w:keepNext/>
        <w:keepLine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14:paraId="20DF71E8" w14:textId="7E5445C2" w:rsidR="005D4E14" w:rsidRPr="005D4E14" w:rsidRDefault="0051060D" w:rsidP="005D4E14">
      <w:pPr>
        <w:keepNext/>
        <w:keepLines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Н А К А З У Ю</w:t>
      </w:r>
      <w:r w:rsidR="005D4E14" w:rsidRPr="005D4E14">
        <w:rPr>
          <w:rFonts w:ascii="Times New Roman" w:eastAsiaTheme="minorHAnsi" w:hAnsi="Times New Roman"/>
          <w:b/>
          <w:bCs/>
          <w:sz w:val="28"/>
          <w:szCs w:val="28"/>
        </w:rPr>
        <w:t>:</w:t>
      </w:r>
    </w:p>
    <w:p w14:paraId="372197F1" w14:textId="77777777" w:rsidR="005D4E14" w:rsidRPr="005D4E14" w:rsidRDefault="005D4E14" w:rsidP="005D4E14">
      <w:pPr>
        <w:keepNext/>
        <w:keepLines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6EF70DA1" w14:textId="212111FE" w:rsidR="0067752A" w:rsidRPr="003720B5" w:rsidRDefault="003720B5" w:rsidP="003720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7752A" w:rsidRPr="003720B5">
        <w:rPr>
          <w:rFonts w:ascii="Times New Roman" w:hAnsi="Times New Roman"/>
          <w:sz w:val="28"/>
          <w:szCs w:val="28"/>
        </w:rPr>
        <w:t>Управлінню освіти, культури, молоді та спорту вжити з</w:t>
      </w:r>
      <w:r>
        <w:rPr>
          <w:rFonts w:ascii="Times New Roman" w:hAnsi="Times New Roman"/>
          <w:sz w:val="28"/>
          <w:szCs w:val="28"/>
        </w:rPr>
        <w:t xml:space="preserve">аходів на виконання рішення </w:t>
      </w:r>
      <w:r w:rsidR="0067752A" w:rsidRPr="003720B5">
        <w:rPr>
          <w:rFonts w:ascii="Times New Roman" w:hAnsi="Times New Roman"/>
          <w:sz w:val="28"/>
          <w:szCs w:val="28"/>
        </w:rPr>
        <w:t xml:space="preserve">25 сесії </w:t>
      </w:r>
      <w:r w:rsidR="0067752A" w:rsidRPr="003720B5">
        <w:rPr>
          <w:rFonts w:ascii="Times New Roman" w:hAnsi="Times New Roman"/>
          <w:sz w:val="28"/>
          <w:szCs w:val="28"/>
          <w:lang w:val="en-US"/>
        </w:rPr>
        <w:t>VIII</w:t>
      </w:r>
      <w:r w:rsidR="0067752A" w:rsidRPr="003720B5">
        <w:rPr>
          <w:rFonts w:ascii="Times New Roman" w:hAnsi="Times New Roman"/>
          <w:sz w:val="28"/>
          <w:szCs w:val="28"/>
        </w:rPr>
        <w:t xml:space="preserve"> скликання Борщагівської сільської ради від 12.06.2025 </w:t>
      </w:r>
      <w:r w:rsidRPr="003720B5">
        <w:rPr>
          <w:rFonts w:ascii="Times New Roman" w:hAnsi="Times New Roman"/>
          <w:sz w:val="28"/>
          <w:szCs w:val="28"/>
        </w:rPr>
        <w:t>№ 45</w:t>
      </w:r>
      <w:r w:rsidR="0067752A" w:rsidRPr="003720B5">
        <w:rPr>
          <w:rFonts w:ascii="Times New Roman" w:hAnsi="Times New Roman"/>
          <w:sz w:val="28"/>
          <w:szCs w:val="28"/>
        </w:rPr>
        <w:t>-25-</w:t>
      </w:r>
      <w:r w:rsidR="0067752A" w:rsidRPr="003720B5">
        <w:rPr>
          <w:rFonts w:ascii="Times New Roman" w:hAnsi="Times New Roman"/>
          <w:sz w:val="28"/>
          <w:szCs w:val="28"/>
          <w:lang w:val="en-US"/>
        </w:rPr>
        <w:t>VIII</w:t>
      </w:r>
      <w:r w:rsidR="0067752A" w:rsidRPr="003720B5">
        <w:rPr>
          <w:rFonts w:ascii="Times New Roman" w:hAnsi="Times New Roman"/>
          <w:sz w:val="28"/>
          <w:szCs w:val="28"/>
        </w:rPr>
        <w:t xml:space="preserve"> «Про створення Чайківської гімназії Борщагівської сільської ради Бучанського району Київської області» щодо призначення директора закладу та реєстрації закладу освіти в установленому законодавством порядку.</w:t>
      </w:r>
    </w:p>
    <w:p w14:paraId="4967ADBD" w14:textId="77777777" w:rsidR="0067752A" w:rsidRDefault="0067752A" w:rsidP="0067752A">
      <w:pPr>
        <w:pStyle w:val="a3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7B50E733" w14:textId="1332D15A" w:rsidR="005D4E14" w:rsidRPr="0029254A" w:rsidRDefault="0029254A" w:rsidP="0029254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D4E14" w:rsidRPr="0029254A">
        <w:rPr>
          <w:rFonts w:ascii="Times New Roman" w:hAnsi="Times New Roman"/>
          <w:sz w:val="28"/>
          <w:szCs w:val="28"/>
        </w:rPr>
        <w:t>Керівникам закладів загальної середньої освіти:</w:t>
      </w:r>
    </w:p>
    <w:p w14:paraId="69C2974C" w14:textId="7DCC0E8D" w:rsidR="005D4E14" w:rsidRPr="0029254A" w:rsidRDefault="0029254A" w:rsidP="0029254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5D4E14" w:rsidRPr="0029254A">
        <w:rPr>
          <w:rFonts w:ascii="Times New Roman" w:hAnsi="Times New Roman"/>
          <w:sz w:val="28"/>
          <w:szCs w:val="28"/>
        </w:rPr>
        <w:t>Формувати оптимальну мережу класів відповідно до запитів населення та виконання умови забезпечення рівного доступу громадян до якісної безперервної освіти, проводити заходи щодо оптимізації мережі класів з метою її удосконалення.</w:t>
      </w:r>
    </w:p>
    <w:p w14:paraId="1F56466C" w14:textId="77777777" w:rsidR="0067752A" w:rsidRPr="0067752A" w:rsidRDefault="005D4E14" w:rsidP="0067752A">
      <w:pPr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67752A">
        <w:rPr>
          <w:rFonts w:ascii="Times New Roman" w:hAnsi="Times New Roman"/>
          <w:sz w:val="28"/>
          <w:szCs w:val="28"/>
        </w:rPr>
        <w:t>Постійно</w:t>
      </w:r>
    </w:p>
    <w:p w14:paraId="69013CA7" w14:textId="756DD94F" w:rsidR="005D4E14" w:rsidRPr="006A46A1" w:rsidRDefault="006A46A1" w:rsidP="006A46A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5D4E14" w:rsidRPr="006A46A1">
        <w:rPr>
          <w:rFonts w:ascii="Times New Roman" w:hAnsi="Times New Roman"/>
          <w:sz w:val="28"/>
          <w:szCs w:val="28"/>
        </w:rPr>
        <w:t>Здійснювати при потребі системну роботу з приведення установчих документів у відповідність до вимог законів України «Про освіту», «Про повну загальну середню освіту».</w:t>
      </w:r>
    </w:p>
    <w:p w14:paraId="6F80C6BB" w14:textId="03C6E033" w:rsidR="005D4E14" w:rsidRPr="0067752A" w:rsidRDefault="005D4E14" w:rsidP="0067752A">
      <w:pPr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67752A">
        <w:rPr>
          <w:rFonts w:ascii="Times New Roman" w:hAnsi="Times New Roman"/>
          <w:sz w:val="28"/>
          <w:szCs w:val="28"/>
        </w:rPr>
        <w:t>Упродовж навчального року</w:t>
      </w:r>
    </w:p>
    <w:p w14:paraId="67682B2C" w14:textId="37655BEE" w:rsidR="0067752A" w:rsidRPr="006A46A1" w:rsidRDefault="006A46A1" w:rsidP="006A46A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2.3. </w:t>
      </w:r>
      <w:r w:rsidR="005D4E14" w:rsidRPr="006A46A1">
        <w:rPr>
          <w:rFonts w:ascii="Times New Roman" w:eastAsia="Times New Roman" w:hAnsi="Times New Roman"/>
          <w:bCs/>
          <w:sz w:val="28"/>
          <w:szCs w:val="28"/>
        </w:rPr>
        <w:t xml:space="preserve">Створювати умови для індивідуальної траєкторії розвитку здобувачів освіти, їх самореалізації, оволодіння ключовими </w:t>
      </w:r>
      <w:proofErr w:type="spellStart"/>
      <w:r w:rsidR="005D4E14" w:rsidRPr="006A46A1">
        <w:rPr>
          <w:rFonts w:ascii="Times New Roman" w:eastAsia="Times New Roman" w:hAnsi="Times New Roman"/>
          <w:bCs/>
          <w:sz w:val="28"/>
          <w:szCs w:val="28"/>
        </w:rPr>
        <w:t>компетентностями</w:t>
      </w:r>
      <w:proofErr w:type="spellEnd"/>
      <w:r w:rsidR="005D4E14" w:rsidRPr="006A46A1">
        <w:rPr>
          <w:rFonts w:ascii="Times New Roman" w:eastAsia="Times New Roman" w:hAnsi="Times New Roman"/>
          <w:bCs/>
          <w:sz w:val="28"/>
          <w:szCs w:val="28"/>
        </w:rPr>
        <w:t>, необхідними для успішної самореалізації, соціалізації, подальшої трудової діяльності.</w:t>
      </w:r>
    </w:p>
    <w:p w14:paraId="1A5CF870" w14:textId="77777777" w:rsidR="0067752A" w:rsidRPr="0067752A" w:rsidRDefault="005D4E14" w:rsidP="0067752A">
      <w:pPr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67752A">
        <w:rPr>
          <w:rFonts w:ascii="Times New Roman" w:eastAsia="Times New Roman" w:hAnsi="Times New Roman"/>
          <w:bCs/>
          <w:sz w:val="28"/>
          <w:szCs w:val="28"/>
        </w:rPr>
        <w:tab/>
        <w:t>Постійно</w:t>
      </w:r>
    </w:p>
    <w:p w14:paraId="0A6DE61B" w14:textId="1C493C2D" w:rsidR="0067752A" w:rsidRPr="006A46A1" w:rsidRDefault="006A46A1" w:rsidP="006A46A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2.4. </w:t>
      </w:r>
      <w:r w:rsidR="005D4E14" w:rsidRPr="006A46A1">
        <w:rPr>
          <w:rFonts w:ascii="Times New Roman" w:eastAsia="Times New Roman" w:hAnsi="Times New Roman"/>
          <w:bCs/>
          <w:sz w:val="28"/>
          <w:szCs w:val="28"/>
        </w:rPr>
        <w:t>Забезпечувати рівний доступ до якісної освіти особам із соціально вразливих верств населення та дітей з особливими освітніми потребам</w:t>
      </w:r>
      <w:r w:rsidR="0067752A" w:rsidRPr="006A46A1">
        <w:rPr>
          <w:rFonts w:ascii="Times New Roman" w:eastAsia="Times New Roman" w:hAnsi="Times New Roman"/>
          <w:bCs/>
          <w:sz w:val="28"/>
          <w:szCs w:val="28"/>
        </w:rPr>
        <w:t>и.</w:t>
      </w:r>
    </w:p>
    <w:p w14:paraId="4340F1B1" w14:textId="46D5E069" w:rsidR="0067752A" w:rsidRPr="0067752A" w:rsidRDefault="005D4E14" w:rsidP="0067752A">
      <w:pPr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67752A">
        <w:rPr>
          <w:rFonts w:ascii="Times New Roman" w:eastAsia="Times New Roman" w:hAnsi="Times New Roman"/>
          <w:bCs/>
          <w:sz w:val="28"/>
          <w:szCs w:val="28"/>
        </w:rPr>
        <w:tab/>
        <w:t xml:space="preserve">Постійно  </w:t>
      </w:r>
    </w:p>
    <w:p w14:paraId="160EFF94" w14:textId="77777777" w:rsidR="0067752A" w:rsidRPr="0067752A" w:rsidRDefault="0067752A" w:rsidP="0067752A">
      <w:pPr>
        <w:pStyle w:val="a3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19763701" w14:textId="274651CA" w:rsidR="005D4E14" w:rsidRPr="006A46A1" w:rsidRDefault="005D4E14" w:rsidP="006A46A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A46A1">
        <w:rPr>
          <w:rFonts w:ascii="Times New Roman" w:eastAsiaTheme="minorHAnsi" w:hAnsi="Times New Roman"/>
          <w:sz w:val="28"/>
          <w:szCs w:val="28"/>
        </w:rPr>
        <w:t xml:space="preserve">Контроль за виконання цього </w:t>
      </w:r>
      <w:r w:rsidR="00F41B27" w:rsidRPr="006A46A1">
        <w:rPr>
          <w:rFonts w:ascii="Times New Roman" w:eastAsiaTheme="minorHAnsi" w:hAnsi="Times New Roman"/>
          <w:sz w:val="28"/>
          <w:szCs w:val="28"/>
        </w:rPr>
        <w:t>наказу</w:t>
      </w:r>
      <w:r w:rsidRPr="006A46A1">
        <w:rPr>
          <w:rFonts w:ascii="Times New Roman" w:eastAsiaTheme="minorHAnsi" w:hAnsi="Times New Roman"/>
          <w:sz w:val="28"/>
          <w:szCs w:val="28"/>
        </w:rPr>
        <w:t xml:space="preserve"> залишаю за собою. </w:t>
      </w:r>
    </w:p>
    <w:p w14:paraId="6728DD27" w14:textId="77777777" w:rsidR="005D4E14" w:rsidRPr="005D4E14" w:rsidRDefault="005D4E14" w:rsidP="005D4E14">
      <w:pPr>
        <w:keepNext/>
        <w:keepLines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25B91F6D" w14:textId="77777777" w:rsidR="005D4E14" w:rsidRDefault="005D4E14" w:rsidP="005D4E14">
      <w:pPr>
        <w:keepNext/>
        <w:keepLines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324FE004" w14:textId="77777777" w:rsidR="00F41B27" w:rsidRPr="005D4E14" w:rsidRDefault="00F41B27" w:rsidP="005D4E14">
      <w:pPr>
        <w:keepNext/>
        <w:keepLines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49F74E8C" w14:textId="123C0203" w:rsidR="005D4E14" w:rsidRPr="00F41B27" w:rsidRDefault="00F41B27" w:rsidP="005D4E14">
      <w:pPr>
        <w:keepNext/>
        <w:keepLines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41B27">
        <w:rPr>
          <w:rFonts w:ascii="Times New Roman" w:eastAsiaTheme="minorHAnsi" w:hAnsi="Times New Roman"/>
          <w:bCs/>
          <w:sz w:val="28"/>
          <w:szCs w:val="28"/>
        </w:rPr>
        <w:t>Начальник управління</w:t>
      </w:r>
      <w:r w:rsidR="005D4E14" w:rsidRPr="00F41B27">
        <w:rPr>
          <w:rFonts w:ascii="Times New Roman" w:eastAsiaTheme="minorHAnsi" w:hAnsi="Times New Roman"/>
          <w:bCs/>
          <w:sz w:val="28"/>
          <w:szCs w:val="28"/>
        </w:rPr>
        <w:tab/>
      </w:r>
      <w:r w:rsidR="005D4E14" w:rsidRPr="00F41B27">
        <w:rPr>
          <w:rFonts w:ascii="Times New Roman" w:eastAsiaTheme="minorHAnsi" w:hAnsi="Times New Roman"/>
          <w:bCs/>
          <w:sz w:val="28"/>
          <w:szCs w:val="28"/>
        </w:rPr>
        <w:tab/>
      </w:r>
      <w:r w:rsidR="005D4E14" w:rsidRPr="00F41B27">
        <w:rPr>
          <w:rFonts w:ascii="Times New Roman" w:eastAsiaTheme="minorHAnsi" w:hAnsi="Times New Roman"/>
          <w:bCs/>
          <w:sz w:val="28"/>
          <w:szCs w:val="28"/>
        </w:rPr>
        <w:tab/>
      </w:r>
      <w:r w:rsidR="005D4E14" w:rsidRPr="00F41B27">
        <w:rPr>
          <w:rFonts w:ascii="Times New Roman" w:eastAsiaTheme="minorHAnsi" w:hAnsi="Times New Roman"/>
          <w:bCs/>
          <w:sz w:val="28"/>
          <w:szCs w:val="28"/>
        </w:rPr>
        <w:tab/>
      </w:r>
      <w:r w:rsidR="005D4E14" w:rsidRPr="00F41B27">
        <w:rPr>
          <w:rFonts w:ascii="Times New Roman" w:eastAsiaTheme="minorHAnsi" w:hAnsi="Times New Roman"/>
          <w:bCs/>
          <w:sz w:val="28"/>
          <w:szCs w:val="28"/>
        </w:rPr>
        <w:tab/>
      </w:r>
      <w:r>
        <w:rPr>
          <w:rFonts w:ascii="Times New Roman" w:eastAsiaTheme="minorHAnsi" w:hAnsi="Times New Roman"/>
          <w:bCs/>
          <w:sz w:val="28"/>
          <w:szCs w:val="28"/>
        </w:rPr>
        <w:t xml:space="preserve">                 </w:t>
      </w:r>
      <w:r w:rsidR="005D4E14" w:rsidRPr="00F41B27">
        <w:rPr>
          <w:rFonts w:ascii="Times New Roman" w:eastAsiaTheme="minorHAnsi" w:hAnsi="Times New Roman"/>
          <w:bCs/>
          <w:sz w:val="28"/>
          <w:szCs w:val="28"/>
        </w:rPr>
        <w:t>Лариса ЛАХТАДИР</w:t>
      </w:r>
    </w:p>
    <w:p w14:paraId="0B8721E7" w14:textId="77777777" w:rsidR="008577E1" w:rsidRPr="00F41B27" w:rsidRDefault="008577E1" w:rsidP="00992DA6">
      <w:pPr>
        <w:suppressAutoHyphens/>
        <w:spacing w:after="0" w:line="276" w:lineRule="auto"/>
        <w:jc w:val="both"/>
        <w:rPr>
          <w:rFonts w:ascii="Times New Roman" w:eastAsia="font226" w:hAnsi="Times New Roman"/>
          <w:bCs/>
          <w:color w:val="00000A"/>
          <w:kern w:val="2"/>
          <w:sz w:val="28"/>
          <w:szCs w:val="28"/>
          <w:lang w:eastAsia="zh-CN"/>
        </w:rPr>
      </w:pPr>
    </w:p>
    <w:p w14:paraId="4D81D0EC" w14:textId="77777777" w:rsidR="008577E1" w:rsidRDefault="008577E1" w:rsidP="00992DA6">
      <w:pPr>
        <w:suppressAutoHyphens/>
        <w:spacing w:after="0" w:line="276" w:lineRule="auto"/>
        <w:jc w:val="both"/>
      </w:pPr>
    </w:p>
    <w:sectPr w:rsidR="008577E1" w:rsidSect="00D755E8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C2FF2" w14:textId="77777777" w:rsidR="00F41B27" w:rsidRDefault="00F41B27" w:rsidP="00F41B27">
      <w:pPr>
        <w:spacing w:after="0" w:line="240" w:lineRule="auto"/>
      </w:pPr>
      <w:r>
        <w:separator/>
      </w:r>
    </w:p>
  </w:endnote>
  <w:endnote w:type="continuationSeparator" w:id="0">
    <w:p w14:paraId="1AC13455" w14:textId="77777777" w:rsidR="00F41B27" w:rsidRDefault="00F41B27" w:rsidP="00F4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26">
    <w:altName w:val="Cambria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443B0" w14:textId="77777777" w:rsidR="00F41B27" w:rsidRDefault="00F41B27" w:rsidP="00F41B27">
      <w:pPr>
        <w:spacing w:after="0" w:line="240" w:lineRule="auto"/>
      </w:pPr>
      <w:r>
        <w:separator/>
      </w:r>
    </w:p>
  </w:footnote>
  <w:footnote w:type="continuationSeparator" w:id="0">
    <w:p w14:paraId="5E91AD70" w14:textId="77777777" w:rsidR="00F41B27" w:rsidRDefault="00F41B27" w:rsidP="00F4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863307"/>
      <w:docPartObj>
        <w:docPartGallery w:val="Page Numbers (Top of Page)"/>
        <w:docPartUnique/>
      </w:docPartObj>
    </w:sdtPr>
    <w:sdtEndPr/>
    <w:sdtContent>
      <w:p w14:paraId="3C5BB1D8" w14:textId="52BAF950" w:rsidR="00F41B27" w:rsidRDefault="00F41B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D34" w:rsidRPr="00C86D34">
          <w:rPr>
            <w:noProof/>
            <w:lang w:val="ru-RU"/>
          </w:rPr>
          <w:t>2</w:t>
        </w:r>
        <w:r>
          <w:fldChar w:fldCharType="end"/>
        </w:r>
      </w:p>
    </w:sdtContent>
  </w:sdt>
  <w:p w14:paraId="5D51BE7B" w14:textId="77777777" w:rsidR="00F41B27" w:rsidRDefault="00F41B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E65ED"/>
    <w:multiLevelType w:val="hybridMultilevel"/>
    <w:tmpl w:val="370E83FE"/>
    <w:lvl w:ilvl="0" w:tplc="E8AA75B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0F5629"/>
    <w:multiLevelType w:val="hybridMultilevel"/>
    <w:tmpl w:val="0430F7C4"/>
    <w:lvl w:ilvl="0" w:tplc="48CE5C5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BB0F08"/>
    <w:multiLevelType w:val="hybridMultilevel"/>
    <w:tmpl w:val="9C1ED490"/>
    <w:lvl w:ilvl="0" w:tplc="8B3059DA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0111DF"/>
    <w:multiLevelType w:val="multilevel"/>
    <w:tmpl w:val="71F43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4" w15:restartNumberingAfterBreak="0">
    <w:nsid w:val="729D353E"/>
    <w:multiLevelType w:val="multilevel"/>
    <w:tmpl w:val="801A05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A6"/>
    <w:rsid w:val="000C5DEC"/>
    <w:rsid w:val="0029254A"/>
    <w:rsid w:val="003720B5"/>
    <w:rsid w:val="004374EB"/>
    <w:rsid w:val="0051060D"/>
    <w:rsid w:val="005D4E14"/>
    <w:rsid w:val="006002E1"/>
    <w:rsid w:val="00603A7B"/>
    <w:rsid w:val="00643634"/>
    <w:rsid w:val="0067752A"/>
    <w:rsid w:val="006814B0"/>
    <w:rsid w:val="006A46A1"/>
    <w:rsid w:val="007F0E34"/>
    <w:rsid w:val="00803608"/>
    <w:rsid w:val="0082363C"/>
    <w:rsid w:val="008577E1"/>
    <w:rsid w:val="00992DA6"/>
    <w:rsid w:val="00A11793"/>
    <w:rsid w:val="00C86D34"/>
    <w:rsid w:val="00D755E8"/>
    <w:rsid w:val="00EC3FE3"/>
    <w:rsid w:val="00EF6F82"/>
    <w:rsid w:val="00F41B27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3F82"/>
  <w15:chartTrackingRefBased/>
  <w15:docId w15:val="{457C16DC-8EE0-44A5-88C9-EE690310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A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1B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B2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41B2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B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24</cp:revision>
  <dcterms:created xsi:type="dcterms:W3CDTF">2025-06-18T11:41:00Z</dcterms:created>
  <dcterms:modified xsi:type="dcterms:W3CDTF">2025-06-24T13:12:00Z</dcterms:modified>
</cp:coreProperties>
</file>