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52A75" w14:textId="77777777" w:rsidR="00B44DC5" w:rsidRPr="00875CC1" w:rsidRDefault="00B44DC5" w:rsidP="00B44DC5">
      <w:pPr>
        <w:suppressAutoHyphens/>
        <w:spacing w:after="0" w:line="276" w:lineRule="auto"/>
        <w:jc w:val="center"/>
        <w:rPr>
          <w:rFonts w:ascii="Times New Roman" w:eastAsia="font226" w:hAnsi="Times New Roman" w:cs="Times New Roman"/>
          <w:color w:val="00000A"/>
          <w:kern w:val="1"/>
          <w:lang w:val="ru-RU" w:eastAsia="zh-CN"/>
        </w:rPr>
      </w:pPr>
      <w:r w:rsidRPr="00875CC1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>БОРЩАГІВСЬКА  СІЛЬСЬКА  РАДА  БУЧАНСЬКОГО  РАЙОНУ</w:t>
      </w:r>
    </w:p>
    <w:p w14:paraId="4B7AC131" w14:textId="77777777" w:rsidR="00B44DC5" w:rsidRPr="00875CC1" w:rsidRDefault="00B44DC5" w:rsidP="00B44DC5">
      <w:pPr>
        <w:suppressAutoHyphens/>
        <w:spacing w:after="0" w:line="276" w:lineRule="auto"/>
        <w:jc w:val="center"/>
        <w:rPr>
          <w:rFonts w:ascii="Calibri" w:eastAsia="font226" w:hAnsi="Calibri" w:cs="font226"/>
          <w:color w:val="00000A"/>
          <w:kern w:val="1"/>
          <w:lang w:val="ru-RU" w:eastAsia="zh-CN"/>
        </w:rPr>
      </w:pPr>
      <w:r w:rsidRPr="00875CC1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>КИЇВСЬКОЇ  ОБЛАСТІ</w:t>
      </w:r>
    </w:p>
    <w:p w14:paraId="3F5243DA" w14:textId="77777777" w:rsidR="00B44DC5" w:rsidRPr="00875CC1" w:rsidRDefault="00B44DC5" w:rsidP="00B44DC5">
      <w:pPr>
        <w:suppressAutoHyphens/>
        <w:spacing w:after="0" w:line="276" w:lineRule="auto"/>
        <w:jc w:val="center"/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</w:pPr>
    </w:p>
    <w:p w14:paraId="2A43CF63" w14:textId="4BDB70C8" w:rsidR="00B44DC5" w:rsidRPr="005B639A" w:rsidRDefault="00B44DC5" w:rsidP="005B639A">
      <w:pPr>
        <w:keepNext/>
        <w:widowControl w:val="0"/>
        <w:suppressAutoHyphens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0"/>
          <w:lang w:val="ru-RU" w:eastAsia="zh-CN"/>
        </w:rPr>
      </w:pPr>
      <w:r w:rsidRPr="00875CC1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val="ru-RU" w:eastAsia="zh-CN"/>
        </w:rPr>
        <w:t>УПРАВЛІННЯ ОСВІТИ, КУЛЬТУРИ, МОЛОДІ ТА СПОРТУ</w:t>
      </w:r>
    </w:p>
    <w:p w14:paraId="0677C79C" w14:textId="77777777" w:rsidR="00B44DC5" w:rsidRPr="002A1FBA" w:rsidRDefault="00B44DC5" w:rsidP="00B44DC5">
      <w:pPr>
        <w:suppressAutoHyphens/>
        <w:spacing w:after="0" w:line="276" w:lineRule="auto"/>
        <w:jc w:val="center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</w:pPr>
      <w:r w:rsidRPr="002A1FBA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Н А К А З</w:t>
      </w:r>
    </w:p>
    <w:p w14:paraId="3C315974" w14:textId="77777777" w:rsidR="00B44DC5" w:rsidRDefault="00B44DC5" w:rsidP="00B44DC5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</w:pPr>
    </w:p>
    <w:p w14:paraId="4C41904E" w14:textId="67939407" w:rsidR="00B44DC5" w:rsidRPr="007A3D75" w:rsidRDefault="00B44DC5" w:rsidP="00B44DC5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</w:pP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від «</w:t>
      </w:r>
      <w:r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1</w:t>
      </w:r>
      <w:r w:rsidR="00A717CD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6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» </w:t>
      </w:r>
      <w:r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червня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 2025 року                                                            </w:t>
      </w:r>
      <w:r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  <w:t xml:space="preserve">      </w:t>
      </w:r>
      <w:r w:rsidRPr="007A3D75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№ 210</w:t>
      </w:r>
    </w:p>
    <w:p w14:paraId="3891D9D8" w14:textId="77777777" w:rsidR="00A01A80" w:rsidRDefault="00A01A80" w:rsidP="00A01A80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</w:pPr>
    </w:p>
    <w:p w14:paraId="70DD4C92" w14:textId="77777777" w:rsidR="009F5AF3" w:rsidRDefault="009F5AF3" w:rsidP="009F5AF3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0459939"/>
      <w:r w:rsidRPr="00EA6F9E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заходів щодо </w:t>
      </w:r>
      <w:r w:rsidRPr="00EA6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60B1">
        <w:rPr>
          <w:rFonts w:ascii="Times New Roman" w:hAnsi="Times New Roman" w:cs="Times New Roman"/>
          <w:b/>
          <w:bCs/>
          <w:sz w:val="28"/>
          <w:szCs w:val="28"/>
        </w:rPr>
        <w:t xml:space="preserve">додержання закладами освіти </w:t>
      </w:r>
      <w:r w:rsidRPr="00EA6F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Борщагівської сільської ради </w:t>
      </w:r>
      <w:r w:rsidRPr="00F060B1">
        <w:rPr>
          <w:rFonts w:ascii="Times New Roman" w:hAnsi="Times New Roman" w:cs="Times New Roman"/>
          <w:b/>
          <w:bCs/>
          <w:sz w:val="28"/>
          <w:szCs w:val="28"/>
        </w:rPr>
        <w:t>вимог законодавства у сфері освіти</w:t>
      </w:r>
    </w:p>
    <w:p w14:paraId="303AD99D" w14:textId="77777777" w:rsidR="00A01A80" w:rsidRDefault="00A01A80" w:rsidP="00A01A80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1A40E5A4" w14:textId="109337FD" w:rsidR="005B639A" w:rsidRPr="005B639A" w:rsidRDefault="00A01A80" w:rsidP="005B639A">
      <w:pPr>
        <w:spacing w:after="0" w:line="240" w:lineRule="auto"/>
        <w:ind w:firstLine="567"/>
        <w:jc w:val="both"/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</w:pPr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Відповідно до Порядку здійснення аналізу діяльності місцевих органів виконавчої  влади, органів місцевого самоврядування, їх структурних підрозділів з питань освіти, затвердженого наказом Міністерства освіти </w:t>
      </w:r>
      <w:r w:rsidR="00CE092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</w:t>
      </w:r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і науки України від 07.12.2021 № 1313 (зареєстрованого в Міністерс</w:t>
      </w:r>
      <w:r w:rsidR="00AC77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тві юстиції України 27.01.2022 </w:t>
      </w:r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№ 97/37433), наказу Центрального міжрегіонального управління Державної служби якості освіти від 19.03.2025 № 39/01-05 </w:t>
      </w:r>
      <w:r w:rsidR="00CE092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</w:t>
      </w:r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«Про здійснення позапланового інституційного аудиту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8367C7">
        <w:rPr>
          <w:rFonts w:ascii="Times New Roman" w:hAnsi="Times New Roman" w:cs="Times New Roman"/>
          <w:sz w:val="28"/>
          <w:szCs w:val="28"/>
        </w:rPr>
        <w:t>якості освітньої та управлінської діяльності, внутрішн</w:t>
      </w:r>
      <w:r>
        <w:rPr>
          <w:rFonts w:ascii="Times New Roman" w:hAnsi="Times New Roman" w:cs="Times New Roman"/>
          <w:sz w:val="28"/>
          <w:szCs w:val="28"/>
        </w:rPr>
        <w:t>ьої</w:t>
      </w:r>
      <w:r w:rsidRPr="008367C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67C7">
        <w:rPr>
          <w:rFonts w:ascii="Times New Roman" w:hAnsi="Times New Roman" w:cs="Times New Roman"/>
          <w:sz w:val="28"/>
          <w:szCs w:val="28"/>
        </w:rPr>
        <w:t xml:space="preserve"> забезпечення якості освіти</w:t>
      </w:r>
      <w:r w:rsidR="00CE092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комунального </w:t>
      </w:r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закладу загальної середньої освіти «Ліцей №1 </w:t>
      </w:r>
      <w:r w:rsidR="00CE092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      </w:t>
      </w:r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с. Петропавлівська Борщагівка» Борщагівської сільської ради Бучанського району Київської області, у період з 31.03.2025 по 11.04.2025 проведено позаплановий інституційний аудит якості освітньої та управлінської діяльності, внутрішню систему забезпечення якості освіти </w:t>
      </w:r>
      <w:bookmarkStart w:id="1" w:name="_Hlk200460061"/>
      <w:r w:rsidRPr="006678A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комунального закладу «Ліцей №1 с. Петропавлівська Борщагівка» Борщагівської сільської ради Бучанського району Київської області</w:t>
      </w:r>
      <w:bookmarkEnd w:id="1"/>
      <w:r w:rsidR="00A51184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, з метою  усунення виявлених порушень та виконання рекомендацій під час проведення позапланового інституційного аудиту, </w:t>
      </w:r>
      <w:r w:rsidR="005B639A" w:rsidRPr="005B639A">
        <w:rPr>
          <w:rFonts w:ascii="Times New Roman" w:eastAsia="Calibri" w:hAnsi="Times New Roman"/>
          <w:sz w:val="28"/>
          <w:szCs w:val="28"/>
        </w:rPr>
        <w:t xml:space="preserve">на виконання </w:t>
      </w:r>
      <w:r w:rsidR="005B639A" w:rsidRPr="005B639A">
        <w:rPr>
          <w:rStyle w:val="aa"/>
          <w:rFonts w:ascii="Times New Roman" w:hAnsi="Times New Roman"/>
          <w:b w:val="0"/>
          <w:sz w:val="28"/>
          <w:szCs w:val="28"/>
        </w:rPr>
        <w:t>рішення колегії</w:t>
      </w:r>
      <w:r w:rsidR="005B639A" w:rsidRPr="005B639A">
        <w:rPr>
          <w:rFonts w:ascii="Times New Roman" w:eastAsia="Calibri" w:hAnsi="Times New Roman"/>
          <w:sz w:val="28"/>
          <w:szCs w:val="28"/>
        </w:rPr>
        <w:t xml:space="preserve"> від 13 червня 2025 року (Протокол № 3)</w:t>
      </w:r>
      <w:r w:rsidR="005B639A" w:rsidRPr="005B639A">
        <w:rPr>
          <w:rFonts w:ascii="Times New Roman" w:eastAsia="font226" w:hAnsi="Times New Roman" w:cs="Times New Roman"/>
          <w:kern w:val="1"/>
          <w:sz w:val="28"/>
          <w:szCs w:val="28"/>
          <w:lang w:eastAsia="zh-CN"/>
        </w:rPr>
        <w:t xml:space="preserve">, </w:t>
      </w:r>
    </w:p>
    <w:p w14:paraId="6449515E" w14:textId="4EA4904E" w:rsidR="00A51184" w:rsidRDefault="00A51184" w:rsidP="00A01A80">
      <w:pPr>
        <w:keepNext/>
        <w:keepLines/>
        <w:suppressAutoHyphens/>
        <w:spacing w:before="40" w:after="0" w:line="240" w:lineRule="auto"/>
        <w:ind w:right="-284" w:firstLine="567"/>
        <w:jc w:val="both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4BCAF987" w14:textId="28D4B71F" w:rsidR="00A01A80" w:rsidRDefault="00A51184" w:rsidP="00A01A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 А К А З У Ю</w:t>
      </w:r>
      <w:r w:rsidR="00A01A80" w:rsidRPr="006728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D38E3A" w14:textId="77777777" w:rsidR="00A01A80" w:rsidRDefault="00A01A80" w:rsidP="00A01A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55EB7" w14:textId="085A8AE7" w:rsidR="009F5AF3" w:rsidRDefault="009F5AF3" w:rsidP="009F5A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заходи </w:t>
      </w:r>
      <w:r w:rsidRPr="009F00FA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додержання закладами освіти </w:t>
      </w:r>
      <w:r w:rsidR="00F60DCF" w:rsidRPr="00F60DCF">
        <w:rPr>
          <w:rFonts w:ascii="Times New Roman" w:hAnsi="Times New Roman" w:cs="Times New Roman"/>
          <w:sz w:val="28"/>
          <w:szCs w:val="28"/>
        </w:rPr>
        <w:t xml:space="preserve">Борщагівської сільської ради </w:t>
      </w:r>
      <w:r>
        <w:rPr>
          <w:rFonts w:ascii="Times New Roman" w:hAnsi="Times New Roman" w:cs="Times New Roman"/>
          <w:sz w:val="28"/>
          <w:szCs w:val="28"/>
        </w:rPr>
        <w:t>вимог законодавства у сфері освіти, що дода</w:t>
      </w:r>
      <w:r w:rsidR="00E14F31">
        <w:rPr>
          <w:rFonts w:ascii="Times New Roman" w:hAnsi="Times New Roman" w:cs="Times New Roman"/>
          <w:sz w:val="28"/>
          <w:szCs w:val="28"/>
        </w:rPr>
        <w:t>ю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ться.</w:t>
      </w:r>
    </w:p>
    <w:p w14:paraId="302F55B1" w14:textId="77777777" w:rsidR="009F5AF3" w:rsidRDefault="009F5AF3" w:rsidP="009F5A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00FA">
        <w:rPr>
          <w:rFonts w:ascii="Times New Roman" w:hAnsi="Times New Roman" w:cs="Times New Roman"/>
          <w:sz w:val="28"/>
          <w:szCs w:val="28"/>
        </w:rPr>
        <w:t>Управлінню освіти, культури, молоді та спорту спільно з комунальним закладом загальної середньої освіти «Ліцей №1 с. Петропавлівська Борщагівка</w:t>
      </w:r>
      <w:r>
        <w:rPr>
          <w:rFonts w:ascii="Times New Roman" w:hAnsi="Times New Roman" w:cs="Times New Roman"/>
          <w:sz w:val="28"/>
          <w:szCs w:val="28"/>
        </w:rPr>
        <w:t>» (далі-Ліцей №1 с. Петропавлівська Борщагівка) з</w:t>
      </w:r>
      <w:r w:rsidRPr="009F00FA">
        <w:rPr>
          <w:rFonts w:ascii="Times New Roman" w:hAnsi="Times New Roman" w:cs="Times New Roman"/>
          <w:sz w:val="28"/>
          <w:szCs w:val="28"/>
        </w:rPr>
        <w:t xml:space="preserve">дійснити підготовчу роботу </w:t>
      </w:r>
      <w:r>
        <w:rPr>
          <w:rFonts w:ascii="Times New Roman" w:hAnsi="Times New Roman" w:cs="Times New Roman"/>
          <w:sz w:val="28"/>
          <w:szCs w:val="28"/>
        </w:rPr>
        <w:t xml:space="preserve">щодо </w:t>
      </w:r>
      <w:r w:rsidRPr="009F00FA">
        <w:rPr>
          <w:rFonts w:ascii="Times New Roman" w:hAnsi="Times New Roman" w:cs="Times New Roman"/>
          <w:sz w:val="28"/>
          <w:szCs w:val="28"/>
        </w:rPr>
        <w:t>створення наукового ліцею.</w:t>
      </w:r>
    </w:p>
    <w:p w14:paraId="22F73E85" w14:textId="77777777" w:rsidR="009F5AF3" w:rsidRDefault="009F5AF3" w:rsidP="009F5A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01.08.2026</w:t>
      </w:r>
    </w:p>
    <w:p w14:paraId="12EF247B" w14:textId="77777777" w:rsidR="00A24CF5" w:rsidRDefault="00A24CF5" w:rsidP="009F5A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2263848" w14:textId="7605A0B8" w:rsidR="009F5AF3" w:rsidRDefault="009F5AF3" w:rsidP="009F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Директору КЗ ЗСО </w:t>
      </w:r>
      <w:r w:rsidRPr="009F00FA">
        <w:rPr>
          <w:rFonts w:ascii="Times New Roman" w:hAnsi="Times New Roman" w:cs="Times New Roman"/>
          <w:sz w:val="28"/>
          <w:szCs w:val="28"/>
        </w:rPr>
        <w:t>«Ліцей №1 с. Петропавлівська Борщагівка</w:t>
      </w:r>
      <w:r w:rsidR="00795AF8">
        <w:rPr>
          <w:rFonts w:ascii="Times New Roman" w:hAnsi="Times New Roman" w:cs="Times New Roman"/>
          <w:sz w:val="28"/>
          <w:szCs w:val="28"/>
        </w:rPr>
        <w:t>» (Мишкіна Т.</w:t>
      </w:r>
      <w:r>
        <w:rPr>
          <w:rFonts w:ascii="Times New Roman" w:hAnsi="Times New Roman" w:cs="Times New Roman"/>
          <w:sz w:val="28"/>
          <w:szCs w:val="28"/>
        </w:rPr>
        <w:t>М.):</w:t>
      </w:r>
    </w:p>
    <w:p w14:paraId="70CBB9F5" w14:textId="77777777" w:rsidR="00D926C4" w:rsidRDefault="00D926C4" w:rsidP="009F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9D846" w14:textId="77777777" w:rsidR="00D926C4" w:rsidRDefault="00D926C4" w:rsidP="009F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49CBF8" w14:textId="77777777" w:rsidR="009F5AF3" w:rsidRPr="009F00FA" w:rsidRDefault="009F5AF3" w:rsidP="009F5A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Pr="009F00FA">
        <w:rPr>
          <w:rFonts w:ascii="Times New Roman" w:hAnsi="Times New Roman" w:cs="Times New Roman"/>
          <w:sz w:val="28"/>
          <w:szCs w:val="28"/>
        </w:rPr>
        <w:t xml:space="preserve">Усунути  </w:t>
      </w:r>
      <w:r w:rsidRPr="009F00FA">
        <w:rPr>
          <w:rFonts w:ascii="Times New Roman" w:eastAsia="Calibri" w:hAnsi="Times New Roman" w:cs="Times New Roman"/>
          <w:sz w:val="28"/>
          <w:szCs w:val="28"/>
        </w:rPr>
        <w:t>недоліки та порушення  вимог законодавства, виявлені під час  здійснення Центральним міжрегіональним управлінням Державної служби якості освіти позапланового інституційного аудиту комунального закладу загальної середньої освіти «Ліцей №1 с. Петропавлівська Борщагівка» Борщагівської сільської ради Бучанського району Київської області.</w:t>
      </w:r>
    </w:p>
    <w:p w14:paraId="1D22AA36" w14:textId="6A086A87" w:rsidR="009F5AF3" w:rsidRPr="008C3B62" w:rsidRDefault="00D926C4" w:rsidP="009F5AF3">
      <w:pPr>
        <w:pStyle w:val="a3"/>
        <w:tabs>
          <w:tab w:val="left" w:pos="851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01.04.2026 </w:t>
      </w:r>
      <w:r w:rsidR="009F5A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E89E2D" w14:textId="77777777" w:rsidR="009F5AF3" w:rsidRPr="009F00FA" w:rsidRDefault="009F5AF3" w:rsidP="009F5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Pr="009F00FA">
        <w:rPr>
          <w:rFonts w:ascii="Times New Roman" w:eastAsia="Calibri" w:hAnsi="Times New Roman" w:cs="Times New Roman"/>
          <w:sz w:val="28"/>
          <w:szCs w:val="28"/>
        </w:rPr>
        <w:t xml:space="preserve">Поінформувати  Центральне міжрегіональне управління Державної служби якості освіти про стан усунення недоліків  і порушень, виявлених у ході позапланового інституційного аудиту. </w:t>
      </w:r>
    </w:p>
    <w:p w14:paraId="7B573EC6" w14:textId="77777777" w:rsidR="00A24CF5" w:rsidRDefault="009F5AF3" w:rsidP="009F5A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7ADA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D926C4">
        <w:rPr>
          <w:rFonts w:ascii="Times New Roman" w:eastAsia="Calibri" w:hAnsi="Times New Roman" w:cs="Times New Roman"/>
          <w:sz w:val="28"/>
          <w:szCs w:val="28"/>
        </w:rPr>
        <w:t>08.04.2026</w:t>
      </w:r>
    </w:p>
    <w:p w14:paraId="580905E7" w14:textId="5D1025B1" w:rsidR="009F5AF3" w:rsidRDefault="00D926C4" w:rsidP="009F5A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345BC9" w14:textId="77777777" w:rsidR="009F5AF3" w:rsidRDefault="009F5AF3" w:rsidP="009F5A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Керівникам закладів освіти забезпечити виконання заходів, затверджених у пункті 1 цього наказу.</w:t>
      </w:r>
    </w:p>
    <w:p w14:paraId="0CB22B4E" w14:textId="77777777" w:rsidR="009F5AF3" w:rsidRPr="0059502A" w:rsidRDefault="009F5AF3" w:rsidP="009F5A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3F76D" w14:textId="77777777" w:rsidR="009F5AF3" w:rsidRPr="00AE26D1" w:rsidRDefault="009F5AF3" w:rsidP="009F5A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6D1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14:paraId="26A7CAE5" w14:textId="77777777" w:rsidR="009F5AF3" w:rsidRDefault="009F5AF3" w:rsidP="009F5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48129" w14:textId="77777777" w:rsidR="00B12AF3" w:rsidRDefault="00B12AF3" w:rsidP="00B12AF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68576A0" w14:textId="77777777" w:rsidR="00B44DC5" w:rsidRDefault="00B44DC5" w:rsidP="00B12AF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E8120C7" w14:textId="6924A899" w:rsidR="00B12AF3" w:rsidRPr="00B44DC5" w:rsidRDefault="00B44DC5" w:rsidP="00B12AF3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DC5">
        <w:rPr>
          <w:rFonts w:ascii="Times New Roman" w:hAnsi="Times New Roman" w:cs="Times New Roman"/>
          <w:bCs/>
          <w:sz w:val="28"/>
          <w:szCs w:val="28"/>
        </w:rPr>
        <w:t>Начальник управління</w:t>
      </w:r>
      <w:r w:rsidR="00B12AF3" w:rsidRPr="00B44DC5">
        <w:rPr>
          <w:rFonts w:ascii="Times New Roman" w:hAnsi="Times New Roman" w:cs="Times New Roman"/>
          <w:bCs/>
          <w:sz w:val="28"/>
          <w:szCs w:val="28"/>
        </w:rPr>
        <w:tab/>
      </w:r>
      <w:r w:rsidR="00B12AF3" w:rsidRPr="00B44DC5">
        <w:rPr>
          <w:rFonts w:ascii="Times New Roman" w:hAnsi="Times New Roman" w:cs="Times New Roman"/>
          <w:bCs/>
          <w:sz w:val="28"/>
          <w:szCs w:val="28"/>
        </w:rPr>
        <w:tab/>
      </w:r>
      <w:r w:rsidR="00B12AF3" w:rsidRPr="00B44DC5">
        <w:rPr>
          <w:rFonts w:ascii="Times New Roman" w:hAnsi="Times New Roman" w:cs="Times New Roman"/>
          <w:bCs/>
          <w:sz w:val="28"/>
          <w:szCs w:val="28"/>
        </w:rPr>
        <w:tab/>
      </w:r>
      <w:r w:rsidR="00B12AF3" w:rsidRPr="00B44DC5">
        <w:rPr>
          <w:rFonts w:ascii="Times New Roman" w:hAnsi="Times New Roman" w:cs="Times New Roman"/>
          <w:bCs/>
          <w:sz w:val="28"/>
          <w:szCs w:val="28"/>
        </w:rPr>
        <w:tab/>
      </w:r>
      <w:r w:rsidR="00B12AF3" w:rsidRPr="00B44DC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12AF3" w:rsidRPr="00B44DC5">
        <w:rPr>
          <w:rFonts w:ascii="Times New Roman" w:hAnsi="Times New Roman" w:cs="Times New Roman"/>
          <w:bCs/>
          <w:sz w:val="28"/>
          <w:szCs w:val="28"/>
        </w:rPr>
        <w:t>Лариса ЛАХТАДИР</w:t>
      </w:r>
    </w:p>
    <w:p w14:paraId="134D2065" w14:textId="2AD33C06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4B281D5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FDFAD40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F86B1DE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6157176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85BAACC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C510C19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D87C4ED" w14:textId="77777777" w:rsidR="00B12AF3" w:rsidRDefault="00B12AF3" w:rsidP="00B12AF3">
      <w:pPr>
        <w:pStyle w:val="a3"/>
        <w:spacing w:line="240" w:lineRule="auto"/>
        <w:ind w:left="92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7E91136" w14:textId="234638E8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1F286" w14:textId="5DC1DB24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0D376" w14:textId="47BD3879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C554B" w14:textId="5CD10831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439DC" w14:textId="209C82A4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C9FA0" w14:textId="299492FF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7FA42" w14:textId="4FA8839A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D8BAE" w14:textId="7E7458CA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F41A1" w14:textId="3D05AE42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ADB9E" w14:textId="3BC7F45F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6AE4B" w14:textId="12891531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EB725" w14:textId="59C4CA36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71E9" w14:textId="0CB4FC92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A2982" w14:textId="0E4797F8" w:rsidR="006972CF" w:rsidRDefault="006972CF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DCBF9" w14:textId="1FA70938" w:rsidR="009F5AF3" w:rsidRDefault="009F5AF3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96343" w14:textId="7701EAD6" w:rsidR="009F5AF3" w:rsidRDefault="009F5AF3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B0A5B" w14:textId="19E90D38" w:rsidR="009F5AF3" w:rsidRDefault="009F5AF3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CCDC0" w14:textId="2C5DFF44" w:rsidR="009F5AF3" w:rsidRDefault="009F5AF3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6963E" w14:textId="77777777" w:rsidR="009F5AF3" w:rsidRDefault="009F5AF3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293F4" w14:textId="77777777" w:rsidR="005B639A" w:rsidRDefault="005B639A" w:rsidP="00A01A8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7A4A7" w14:textId="70132630" w:rsidR="006972CF" w:rsidRDefault="00E51F54" w:rsidP="00E51F54">
      <w:pPr>
        <w:spacing w:after="0" w:line="240" w:lineRule="auto"/>
        <w:ind w:left="6096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29AD0543" w14:textId="5CCDA490" w:rsidR="00E51F54" w:rsidRDefault="00E51F54" w:rsidP="00E51F54">
      <w:pPr>
        <w:spacing w:after="0" w:line="240" w:lineRule="auto"/>
        <w:ind w:left="6096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Наказ управління освіти, культури, молоді та спорту Борщагівської сільської ради</w:t>
      </w:r>
    </w:p>
    <w:p w14:paraId="582F090B" w14:textId="34BC88C3" w:rsidR="00E51F54" w:rsidRDefault="00E51F54" w:rsidP="00E51F54">
      <w:pPr>
        <w:spacing w:after="0" w:line="240" w:lineRule="auto"/>
        <w:ind w:left="6096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8568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17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568B7">
        <w:rPr>
          <w:rFonts w:ascii="Times New Roman" w:hAnsi="Times New Roman" w:cs="Times New Roman"/>
          <w:b/>
          <w:bCs/>
          <w:sz w:val="28"/>
          <w:szCs w:val="28"/>
        </w:rPr>
        <w:t xml:space="preserve">.06.2025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8568B7">
        <w:rPr>
          <w:rFonts w:ascii="Times New Roman" w:hAnsi="Times New Roman" w:cs="Times New Roman"/>
          <w:b/>
          <w:bCs/>
          <w:sz w:val="28"/>
          <w:szCs w:val="28"/>
        </w:rPr>
        <w:t>210</w:t>
      </w:r>
    </w:p>
    <w:p w14:paraId="219BB6FF" w14:textId="77777777" w:rsidR="00E51F54" w:rsidRDefault="00E51F54" w:rsidP="00E51F54">
      <w:pPr>
        <w:ind w:left="6096"/>
      </w:pPr>
    </w:p>
    <w:p w14:paraId="3C94C01C" w14:textId="5F2D9AAC" w:rsidR="006911C6" w:rsidRPr="006911C6" w:rsidRDefault="006911C6" w:rsidP="003E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1C6">
        <w:rPr>
          <w:rFonts w:ascii="Times New Roman" w:hAnsi="Times New Roman" w:cs="Times New Roman"/>
          <w:b/>
          <w:bCs/>
          <w:sz w:val="28"/>
          <w:szCs w:val="28"/>
        </w:rPr>
        <w:t>Заходи</w:t>
      </w:r>
    </w:p>
    <w:p w14:paraId="50612F41" w14:textId="60B25497" w:rsidR="00A856DA" w:rsidRDefault="006911C6" w:rsidP="00D926C4">
      <w:pPr>
        <w:spacing w:after="0" w:line="240" w:lineRule="auto"/>
        <w:jc w:val="center"/>
      </w:pPr>
      <w:r w:rsidRPr="009F00FA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додержання закладами освіти </w:t>
      </w:r>
      <w:r w:rsidR="003E0D82" w:rsidRPr="003E0D82">
        <w:rPr>
          <w:rFonts w:ascii="Times New Roman" w:hAnsi="Times New Roman" w:cs="Times New Roman"/>
          <w:sz w:val="28"/>
          <w:szCs w:val="28"/>
        </w:rPr>
        <w:t xml:space="preserve">Борщагівської сільської </w:t>
      </w:r>
      <w:r w:rsidR="00F60DCF">
        <w:rPr>
          <w:rFonts w:ascii="Times New Roman" w:hAnsi="Times New Roman" w:cs="Times New Roman"/>
          <w:sz w:val="28"/>
          <w:szCs w:val="28"/>
        </w:rPr>
        <w:t>ради</w:t>
      </w:r>
      <w:r w:rsidR="009F5AF3">
        <w:rPr>
          <w:rFonts w:ascii="Times New Roman" w:hAnsi="Times New Roman" w:cs="Times New Roman"/>
          <w:sz w:val="28"/>
          <w:szCs w:val="28"/>
        </w:rPr>
        <w:t xml:space="preserve"> вимог </w:t>
      </w:r>
      <w:r>
        <w:rPr>
          <w:rFonts w:ascii="Times New Roman" w:hAnsi="Times New Roman" w:cs="Times New Roman"/>
          <w:sz w:val="28"/>
          <w:szCs w:val="28"/>
        </w:rPr>
        <w:t>законодавства у сфері освіти</w:t>
      </w:r>
      <w:r w:rsidR="003E0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40105" w14:textId="77777777" w:rsidR="00D926C4" w:rsidRDefault="00D926C4" w:rsidP="00D926C4">
      <w:pPr>
        <w:spacing w:after="0" w:line="240" w:lineRule="auto"/>
        <w:jc w:val="center"/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704"/>
        <w:gridCol w:w="5534"/>
        <w:gridCol w:w="1559"/>
        <w:gridCol w:w="2551"/>
      </w:tblGrid>
      <w:tr w:rsidR="00E51F54" w:rsidRPr="006911C6" w14:paraId="1EA8A3CC" w14:textId="77777777" w:rsidTr="00A042B5">
        <w:tc>
          <w:tcPr>
            <w:tcW w:w="704" w:type="dxa"/>
          </w:tcPr>
          <w:p w14:paraId="54BA200A" w14:textId="65295031" w:rsidR="00E51F54" w:rsidRPr="00AD6BD1" w:rsidRDefault="00E51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534" w:type="dxa"/>
          </w:tcPr>
          <w:p w14:paraId="036BFFB2" w14:textId="32446F5F" w:rsidR="00E51F54" w:rsidRPr="00AD6BD1" w:rsidRDefault="00E51F54" w:rsidP="00AD6B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</w:tcPr>
          <w:p w14:paraId="613CFDE5" w14:textId="4B665657" w:rsidR="00E51F54" w:rsidRPr="00AD6BD1" w:rsidRDefault="00E51F54" w:rsidP="00AD6B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2551" w:type="dxa"/>
          </w:tcPr>
          <w:p w14:paraId="7BE516CD" w14:textId="6D3B729F" w:rsidR="00E51F54" w:rsidRPr="00AD6BD1" w:rsidRDefault="00E51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</w:p>
        </w:tc>
      </w:tr>
      <w:tr w:rsidR="00E51F54" w14:paraId="7E411A1B" w14:textId="77777777" w:rsidTr="00A042B5">
        <w:tc>
          <w:tcPr>
            <w:tcW w:w="704" w:type="dxa"/>
          </w:tcPr>
          <w:p w14:paraId="46A07D2F" w14:textId="77777777" w:rsidR="00E51F54" w:rsidRPr="00AD6BD1" w:rsidRDefault="00E51F54" w:rsidP="007F05C5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15EF5722" w14:textId="7A89E9FC" w:rsidR="00E51F54" w:rsidRPr="00AD6BD1" w:rsidRDefault="00855765" w:rsidP="00CA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 аналіз за</w:t>
            </w:r>
            <w:r w:rsidR="00AD6BD1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дотримання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6BD1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закладами освіти Борщагівської сільської ради (далі – Заклад освіти) виконання вимог законодавства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розглядом</w:t>
            </w:r>
            <w:r w:rsidR="00AD6BD1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на засіданнях колегій, нарад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D6BD1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керівників</w:t>
            </w:r>
          </w:p>
        </w:tc>
        <w:tc>
          <w:tcPr>
            <w:tcW w:w="1559" w:type="dxa"/>
          </w:tcPr>
          <w:p w14:paraId="19EE6BC6" w14:textId="21359AC6" w:rsidR="007F05C5" w:rsidRPr="00AD6BD1" w:rsidRDefault="00EF0DFE" w:rsidP="00AD6BD1">
            <w:pPr>
              <w:pStyle w:val="a5"/>
              <w:spacing w:before="0" w:beforeAutospacing="0" w:after="0" w:afterAutospacing="0"/>
              <w:ind w:left="29"/>
            </w:pPr>
            <w:r>
              <w:t>з</w:t>
            </w:r>
            <w:r w:rsidR="00855765">
              <w:t>гідно з планом</w:t>
            </w:r>
            <w:r w:rsidR="00AD6BD1" w:rsidRPr="00AD6BD1">
              <w:t xml:space="preserve"> </w:t>
            </w:r>
          </w:p>
        </w:tc>
        <w:tc>
          <w:tcPr>
            <w:tcW w:w="2551" w:type="dxa"/>
          </w:tcPr>
          <w:p w14:paraId="6AA95C26" w14:textId="1867E54A" w:rsidR="00E51F54" w:rsidRPr="00AD6BD1" w:rsidRDefault="00EF0DFE" w:rsidP="00855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65">
              <w:rPr>
                <w:rFonts w:ascii="Times New Roman" w:hAnsi="Times New Roman" w:cs="Times New Roman"/>
                <w:sz w:val="24"/>
                <w:szCs w:val="24"/>
              </w:rPr>
              <w:t>ідділ освіти у</w:t>
            </w:r>
            <w:r w:rsidR="00AD6BD1" w:rsidRPr="00AD6BD1">
              <w:rPr>
                <w:rFonts w:ascii="Times New Roman" w:hAnsi="Times New Roman" w:cs="Times New Roman"/>
                <w:sz w:val="24"/>
                <w:szCs w:val="24"/>
              </w:rPr>
              <w:t>правління освіти, культури, молоді та спорту Борщагівської сільської ради (далі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65"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r w:rsidR="00AD6BD1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освіти)</w:t>
            </w:r>
          </w:p>
        </w:tc>
      </w:tr>
      <w:tr w:rsidR="005F4288" w14:paraId="6F0FAD1C" w14:textId="77777777" w:rsidTr="00A042B5">
        <w:tc>
          <w:tcPr>
            <w:tcW w:w="704" w:type="dxa"/>
          </w:tcPr>
          <w:p w14:paraId="467AD591" w14:textId="77777777" w:rsidR="005F4288" w:rsidRPr="00AD6BD1" w:rsidRDefault="005F4288" w:rsidP="007F05C5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715FF1D7" w14:textId="2064FB31" w:rsidR="005F4288" w:rsidRPr="00AD6BD1" w:rsidRDefault="00AD6BD1" w:rsidP="00CA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Розгля</w:t>
            </w:r>
            <w:r w:rsidR="005E28E1">
              <w:rPr>
                <w:rFonts w:ascii="Times New Roman" w:hAnsi="Times New Roman" w:cs="Times New Roman"/>
                <w:sz w:val="24"/>
                <w:szCs w:val="24"/>
              </w:rPr>
              <w:t>нути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на засіданні колегі</w:t>
            </w:r>
            <w:r w:rsidR="005E28E1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питання про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хід виконання Рекомендації щодо вдосконалення діяльності КЗ ЗСО «Ліцей №1 с. Петропавлівська Борщагівка» за результатами проведення позапланового інституційного аудиту Центральним міжрегіональним управлінням Державної служби якості освіти</w:t>
            </w:r>
          </w:p>
        </w:tc>
        <w:tc>
          <w:tcPr>
            <w:tcW w:w="1559" w:type="dxa"/>
          </w:tcPr>
          <w:p w14:paraId="08CDC0F7" w14:textId="5B19B682" w:rsidR="005F4288" w:rsidRPr="00AD6BD1" w:rsidRDefault="00490F40" w:rsidP="00AD6BD1">
            <w:pPr>
              <w:pStyle w:val="a5"/>
              <w:spacing w:before="0" w:beforeAutospacing="0" w:after="0" w:afterAutospacing="0"/>
              <w:ind w:left="29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AD6BD1">
              <w:rPr>
                <w:color w:val="000000"/>
              </w:rPr>
              <w:t>о 01.03.2026</w:t>
            </w:r>
          </w:p>
        </w:tc>
        <w:tc>
          <w:tcPr>
            <w:tcW w:w="2551" w:type="dxa"/>
          </w:tcPr>
          <w:p w14:paraId="587080F2" w14:textId="242317DD" w:rsidR="005F4288" w:rsidRPr="00AD6BD1" w:rsidRDefault="00E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8E1" w:rsidRPr="00AD6BD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</w:tr>
      <w:tr w:rsidR="00490F40" w14:paraId="7FFA1AE5" w14:textId="77777777" w:rsidTr="00A042B5">
        <w:tc>
          <w:tcPr>
            <w:tcW w:w="704" w:type="dxa"/>
          </w:tcPr>
          <w:p w14:paraId="5123DCD7" w14:textId="77777777" w:rsidR="00490F40" w:rsidRPr="00AD6BD1" w:rsidRDefault="00490F40" w:rsidP="00490F40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67DC144A" w14:textId="58DAE166" w:rsidR="00490F40" w:rsidRPr="00AD6BD1" w:rsidRDefault="005E28E1" w:rsidP="00CA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к</w:t>
            </w:r>
            <w:r w:rsidR="00490F40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490F40">
              <w:rPr>
                <w:rFonts w:ascii="Times New Roman" w:hAnsi="Times New Roman" w:cs="Times New Roman"/>
                <w:sz w:val="24"/>
                <w:szCs w:val="24"/>
              </w:rPr>
              <w:t xml:space="preserve"> усунення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40" w:rsidRPr="00490F40">
              <w:rPr>
                <w:rFonts w:ascii="Times New Roman" w:hAnsi="Times New Roman" w:cs="Times New Roman"/>
                <w:sz w:val="24"/>
                <w:szCs w:val="24"/>
              </w:rPr>
              <w:t xml:space="preserve">виявлених порушень під час проведення позапланового інституційного аудиту Ліцею №1 </w:t>
            </w:r>
            <w:r w:rsidR="00D926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490F40" w:rsidRPr="00490F40">
              <w:rPr>
                <w:rFonts w:ascii="Times New Roman" w:hAnsi="Times New Roman" w:cs="Times New Roman"/>
                <w:sz w:val="24"/>
                <w:szCs w:val="24"/>
              </w:rPr>
              <w:t>с. Петропавлівська Борщагівка</w:t>
            </w:r>
          </w:p>
        </w:tc>
        <w:tc>
          <w:tcPr>
            <w:tcW w:w="1559" w:type="dxa"/>
          </w:tcPr>
          <w:p w14:paraId="010338FF" w14:textId="121C20C5" w:rsidR="00490F40" w:rsidRDefault="00490F40" w:rsidP="00490F40">
            <w:pPr>
              <w:pStyle w:val="a5"/>
              <w:spacing w:before="0" w:beforeAutospacing="0" w:after="0" w:afterAutospacing="0"/>
              <w:ind w:left="29"/>
              <w:rPr>
                <w:color w:val="000000"/>
              </w:rPr>
            </w:pPr>
            <w:r>
              <w:rPr>
                <w:color w:val="000000"/>
              </w:rPr>
              <w:t>до 15.03.2026</w:t>
            </w:r>
          </w:p>
        </w:tc>
        <w:tc>
          <w:tcPr>
            <w:tcW w:w="2551" w:type="dxa"/>
          </w:tcPr>
          <w:p w14:paraId="73AE4781" w14:textId="0DD7FEA5" w:rsidR="00490F40" w:rsidRPr="00AD6BD1" w:rsidRDefault="00EF0DFE" w:rsidP="0049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0F40" w:rsidRPr="00AD6BD1">
              <w:rPr>
                <w:rFonts w:ascii="Times New Roman" w:hAnsi="Times New Roman" w:cs="Times New Roman"/>
                <w:sz w:val="24"/>
                <w:szCs w:val="24"/>
              </w:rPr>
              <w:t>правління освіти</w:t>
            </w:r>
          </w:p>
        </w:tc>
      </w:tr>
      <w:tr w:rsidR="00490F40" w14:paraId="0ADD959B" w14:textId="77777777" w:rsidTr="00A042B5">
        <w:tc>
          <w:tcPr>
            <w:tcW w:w="704" w:type="dxa"/>
          </w:tcPr>
          <w:p w14:paraId="67823FA3" w14:textId="77777777" w:rsidR="00490F40" w:rsidRPr="00AD6BD1" w:rsidRDefault="00490F40" w:rsidP="00490F40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0AD04482" w14:textId="6F434E6A" w:rsidR="00490F40" w:rsidRPr="00AD6BD1" w:rsidRDefault="00490F40" w:rsidP="00CA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r w:rsidR="005E28E1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на засіданнях педагогічної ради питання</w:t>
            </w:r>
            <w:r w:rsidR="005E28E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стан виконання заходів щодо реалізації Стратегії розвитку закладу</w:t>
            </w:r>
          </w:p>
        </w:tc>
        <w:tc>
          <w:tcPr>
            <w:tcW w:w="1559" w:type="dxa"/>
          </w:tcPr>
          <w:p w14:paraId="72E0DF1A" w14:textId="7FCF1A02" w:rsidR="00490F40" w:rsidRPr="00AD6BD1" w:rsidRDefault="00490F40" w:rsidP="00490F40">
            <w:pPr>
              <w:pStyle w:val="a5"/>
              <w:spacing w:before="0" w:beforeAutospacing="0" w:after="0" w:afterAutospacing="0"/>
              <w:ind w:left="29"/>
              <w:rPr>
                <w:color w:val="000000"/>
              </w:rPr>
            </w:pPr>
            <w:r w:rsidRPr="00AD6BD1">
              <w:rPr>
                <w:color w:val="000000"/>
              </w:rPr>
              <w:t>щороку</w:t>
            </w:r>
          </w:p>
        </w:tc>
        <w:tc>
          <w:tcPr>
            <w:tcW w:w="2551" w:type="dxa"/>
          </w:tcPr>
          <w:p w14:paraId="37DBEB45" w14:textId="19CBC851" w:rsidR="00490F40" w:rsidRPr="00AD6BD1" w:rsidRDefault="00EF0DFE" w:rsidP="0049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28E1">
              <w:rPr>
                <w:rFonts w:ascii="Times New Roman" w:hAnsi="Times New Roman" w:cs="Times New Roman"/>
                <w:sz w:val="24"/>
                <w:szCs w:val="24"/>
              </w:rPr>
              <w:t>аклади освіти</w:t>
            </w:r>
          </w:p>
        </w:tc>
      </w:tr>
      <w:tr w:rsidR="003A75E6" w14:paraId="6D0BB909" w14:textId="77777777" w:rsidTr="00A042B5">
        <w:tc>
          <w:tcPr>
            <w:tcW w:w="704" w:type="dxa"/>
          </w:tcPr>
          <w:p w14:paraId="04A18DDC" w14:textId="77777777" w:rsidR="003A75E6" w:rsidRPr="00AD6BD1" w:rsidRDefault="003A75E6" w:rsidP="003A75E6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44CBD569" w14:textId="0FEE7443" w:rsidR="003A75E6" w:rsidRPr="00AD6BD1" w:rsidRDefault="003A75E6" w:rsidP="00CA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14D4">
              <w:rPr>
                <w:rFonts w:ascii="Times New Roman" w:hAnsi="Times New Roman" w:cs="Times New Roman"/>
                <w:sz w:val="24"/>
                <w:szCs w:val="24"/>
              </w:rPr>
              <w:t>ровести п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ереоформлення ліцензії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вимог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статт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45 Закону України «Про повну загальну середню освіту»</w:t>
            </w:r>
          </w:p>
        </w:tc>
        <w:tc>
          <w:tcPr>
            <w:tcW w:w="1559" w:type="dxa"/>
          </w:tcPr>
          <w:p w14:paraId="5AC70897" w14:textId="7441BE22" w:rsidR="003A75E6" w:rsidRPr="00AD6BD1" w:rsidRDefault="003A75E6" w:rsidP="003A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20A174D4" w14:textId="5FEB3FEB" w:rsidR="003A75E6" w:rsidRPr="00AD6BD1" w:rsidRDefault="00EF0DFE" w:rsidP="003A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4D4" w:rsidRPr="00AD6BD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141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14D4">
              <w:rPr>
                <w:rFonts w:ascii="Times New Roman" w:hAnsi="Times New Roman" w:cs="Times New Roman"/>
                <w:sz w:val="24"/>
                <w:szCs w:val="24"/>
              </w:rPr>
              <w:t xml:space="preserve">аклади </w:t>
            </w:r>
            <w:r w:rsidR="003A75E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</w:tr>
      <w:tr w:rsidR="003A75E6" w14:paraId="1740C462" w14:textId="77777777" w:rsidTr="00A042B5">
        <w:tc>
          <w:tcPr>
            <w:tcW w:w="704" w:type="dxa"/>
          </w:tcPr>
          <w:p w14:paraId="757636E7" w14:textId="77777777" w:rsidR="003A75E6" w:rsidRPr="00AD6BD1" w:rsidRDefault="003A75E6" w:rsidP="003A75E6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53252E2F" w14:textId="1B57F853" w:rsidR="003A75E6" w:rsidRPr="00AD6BD1" w:rsidRDefault="00A15B69" w:rsidP="00CA1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у відповідність Статут</w:t>
            </w:r>
            <w:r w:rsidR="003A75E6">
              <w:rPr>
                <w:rFonts w:ascii="Times New Roman" w:hAnsi="Times New Roman" w:cs="Times New Roman"/>
                <w:sz w:val="24"/>
                <w:szCs w:val="24"/>
              </w:rPr>
              <w:t xml:space="preserve"> ОЗО «Софіївсько-Борщагівський ліцей» </w:t>
            </w:r>
          </w:p>
        </w:tc>
        <w:tc>
          <w:tcPr>
            <w:tcW w:w="1559" w:type="dxa"/>
          </w:tcPr>
          <w:p w14:paraId="54699B10" w14:textId="7C2B3041" w:rsidR="003A75E6" w:rsidRPr="00AD6BD1" w:rsidRDefault="00865CAA" w:rsidP="003A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551" w:type="dxa"/>
          </w:tcPr>
          <w:p w14:paraId="726E946B" w14:textId="5158E361" w:rsidR="00865CAA" w:rsidRPr="00AD6BD1" w:rsidRDefault="00A15B69" w:rsidP="003A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ОЗО «Софіївсько-Борщагівський ліцей»</w:t>
            </w:r>
          </w:p>
        </w:tc>
      </w:tr>
      <w:tr w:rsidR="00A15B69" w14:paraId="67440441" w14:textId="77777777" w:rsidTr="00A042B5">
        <w:tc>
          <w:tcPr>
            <w:tcW w:w="704" w:type="dxa"/>
          </w:tcPr>
          <w:p w14:paraId="6EBCB830" w14:textId="77777777" w:rsidR="00A15B69" w:rsidRPr="00AD6BD1" w:rsidRDefault="00A15B69" w:rsidP="00A15B69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58F30332" w14:textId="303C9E11" w:rsidR="00A15B69" w:rsidRDefault="00A15B69" w:rsidP="00A1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у відповідність Положення «Філії Ліцею №1 с. Петропавлівська Борщагівка»</w:t>
            </w:r>
          </w:p>
        </w:tc>
        <w:tc>
          <w:tcPr>
            <w:tcW w:w="1559" w:type="dxa"/>
          </w:tcPr>
          <w:p w14:paraId="7DCE7572" w14:textId="0323FBD4" w:rsidR="00A15B69" w:rsidRDefault="00A15B69" w:rsidP="00A1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551" w:type="dxa"/>
          </w:tcPr>
          <w:p w14:paraId="747C7FE9" w14:textId="4C8D27A5" w:rsidR="00A15B69" w:rsidRDefault="00A15B69" w:rsidP="00A1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КЗ ЗСО «Ліцей №1 с. Петропавлівська Борщагівка»</w:t>
            </w:r>
          </w:p>
        </w:tc>
      </w:tr>
      <w:tr w:rsidR="00A15B69" w14:paraId="6570AB19" w14:textId="77777777" w:rsidTr="00A042B5">
        <w:tc>
          <w:tcPr>
            <w:tcW w:w="704" w:type="dxa"/>
          </w:tcPr>
          <w:p w14:paraId="75C68E2B" w14:textId="77777777" w:rsidR="00A15B69" w:rsidRPr="00AD6BD1" w:rsidRDefault="00A15B69" w:rsidP="00A15B69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5D490A38" w14:textId="2FC544E3" w:rsidR="00A15B69" w:rsidRPr="00AD6BD1" w:rsidRDefault="00A15B69" w:rsidP="00A15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д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отримання умов відрахування здобувачів освіти у зв’язку з виїздом за межі України відповідно до Порядку ведення обліку дітей дошкільного, шкільного віку, вихованців та учнів, затвердженого постановою Кабінету Міністрів України від 13.09.2017 № 684</w:t>
            </w:r>
          </w:p>
        </w:tc>
        <w:tc>
          <w:tcPr>
            <w:tcW w:w="1559" w:type="dxa"/>
          </w:tcPr>
          <w:p w14:paraId="5619F742" w14:textId="7518245A" w:rsidR="00A15B69" w:rsidRPr="00AD6BD1" w:rsidRDefault="00A15B69" w:rsidP="00A1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3D2F94EA" w14:textId="02D5D0B4" w:rsidR="00A15B69" w:rsidRPr="00AD6BD1" w:rsidRDefault="00A15B69" w:rsidP="00A1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106C7F" w14:paraId="539A1EA7" w14:textId="77777777" w:rsidTr="00A042B5">
        <w:tc>
          <w:tcPr>
            <w:tcW w:w="704" w:type="dxa"/>
          </w:tcPr>
          <w:p w14:paraId="2E60D2F9" w14:textId="77777777" w:rsidR="00106C7F" w:rsidRPr="00AD6BD1" w:rsidRDefault="00106C7F" w:rsidP="00106C7F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538A5BB8" w14:textId="34F71E0C" w:rsidR="00106C7F" w:rsidRPr="00AD6BD1" w:rsidRDefault="00106C7F" w:rsidP="00106C7F">
            <w:pPr>
              <w:pStyle w:val="docdata"/>
              <w:spacing w:before="0" w:beforeAutospacing="0" w:after="0" w:afterAutospacing="0"/>
              <w:jc w:val="both"/>
            </w:pPr>
            <w:r>
              <w:t>Забезпечити д</w:t>
            </w:r>
            <w:r w:rsidRPr="00AD6BD1">
              <w:t xml:space="preserve">отримання </w:t>
            </w:r>
            <w:r w:rsidRPr="00AD6BD1">
              <w:rPr>
                <w:color w:val="000000"/>
              </w:rPr>
              <w:t xml:space="preserve">вимог законодавства при організації навчання учнів, які здобувають освіту за </w:t>
            </w:r>
            <w:r w:rsidRPr="00AD6BD1">
              <w:rPr>
                <w:color w:val="000000"/>
              </w:rPr>
              <w:lastRenderedPageBreak/>
              <w:t>індивідуальною формою навчання (сімейна, екстернат, педагогічний патронаж)</w:t>
            </w:r>
          </w:p>
        </w:tc>
        <w:tc>
          <w:tcPr>
            <w:tcW w:w="1559" w:type="dxa"/>
          </w:tcPr>
          <w:p w14:paraId="7DED83B2" w14:textId="3802F493" w:rsidR="00106C7F" w:rsidRPr="00AD6BD1" w:rsidRDefault="00106C7F" w:rsidP="0010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2551" w:type="dxa"/>
          </w:tcPr>
          <w:p w14:paraId="1BE24C69" w14:textId="1A3F91C3" w:rsidR="00106C7F" w:rsidRPr="00AD6BD1" w:rsidRDefault="00106C7F" w:rsidP="0010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7E09DD70" w14:textId="77777777" w:rsidTr="00A042B5">
        <w:tc>
          <w:tcPr>
            <w:tcW w:w="704" w:type="dxa"/>
          </w:tcPr>
          <w:p w14:paraId="5A96C395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64DA1FF1" w14:textId="12B1AC28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Затверджувати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індивідуальн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графіки консультацій для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учнів, які здобувають освіту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за екстернатною формою навчання та педагогічним патронажем</w:t>
            </w:r>
          </w:p>
        </w:tc>
        <w:tc>
          <w:tcPr>
            <w:tcW w:w="1559" w:type="dxa"/>
          </w:tcPr>
          <w:p w14:paraId="1F084136" w14:textId="266F3B68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дати переведення учня на відповідну форму навчання</w:t>
            </w:r>
          </w:p>
        </w:tc>
        <w:tc>
          <w:tcPr>
            <w:tcW w:w="2551" w:type="dxa"/>
          </w:tcPr>
          <w:p w14:paraId="1ABA743C" w14:textId="229FADA7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1C6D3AAD" w14:textId="77777777" w:rsidTr="00A042B5">
        <w:tc>
          <w:tcPr>
            <w:tcW w:w="704" w:type="dxa"/>
          </w:tcPr>
          <w:p w14:paraId="60A816B3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2B7BB402" w14:textId="72364160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Залуч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для надання психолого-педагогічних та корекційно-розвиткових послуг учням з особливими освітніми потребами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3B5888B" w14:textId="79856994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551" w:type="dxa"/>
          </w:tcPr>
          <w:p w14:paraId="264411D7" w14:textId="365E0568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0472ED40" w14:textId="77777777" w:rsidTr="00A042B5">
        <w:tc>
          <w:tcPr>
            <w:tcW w:w="704" w:type="dxa"/>
          </w:tcPr>
          <w:p w14:paraId="2570C2F6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71F40F1C" w14:textId="2FFF7AF0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Сприяти підвищенню кваліфікації педагогічних працівників з інноваційної та експертної діяльності</w:t>
            </w:r>
          </w:p>
        </w:tc>
        <w:tc>
          <w:tcPr>
            <w:tcW w:w="1559" w:type="dxa"/>
          </w:tcPr>
          <w:p w14:paraId="3AF4AAC5" w14:textId="467B1C1B" w:rsidR="00420DEA" w:rsidRPr="008E79B3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щороку</w:t>
            </w:r>
          </w:p>
        </w:tc>
        <w:tc>
          <w:tcPr>
            <w:tcW w:w="2551" w:type="dxa"/>
          </w:tcPr>
          <w:p w14:paraId="57481C4F" w14:textId="61199AFB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568AA0C5" w14:textId="77777777" w:rsidTr="00A042B5">
        <w:tc>
          <w:tcPr>
            <w:tcW w:w="704" w:type="dxa"/>
          </w:tcPr>
          <w:p w14:paraId="48046EF7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6D21D4D7" w14:textId="6630FB78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верифікації щодо визнання результатів підвищення кваліфікації педагогічних працівників, отриманих поза закладами, що мають відповідну ліцензію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ст. 40 Закону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«Про повну загальну середню освіту» та 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Кабінету Міністрів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12.08.2019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№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EF3783" w14:textId="47FBDF8C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05317CBA" w14:textId="0545EC6E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69B6C7E4" w14:textId="77777777" w:rsidTr="00A042B5">
        <w:tc>
          <w:tcPr>
            <w:tcW w:w="704" w:type="dxa"/>
          </w:tcPr>
          <w:p w14:paraId="6E0DD3AB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237E3412" w14:textId="0F54BD0D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Оцінюва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освітньої програми закладу освіти</w:t>
            </w:r>
          </w:p>
        </w:tc>
        <w:tc>
          <w:tcPr>
            <w:tcW w:w="1559" w:type="dxa"/>
          </w:tcPr>
          <w:p w14:paraId="3BA04E36" w14:textId="0BA51A3B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щороку</w:t>
            </w:r>
          </w:p>
        </w:tc>
        <w:tc>
          <w:tcPr>
            <w:tcW w:w="2551" w:type="dxa"/>
          </w:tcPr>
          <w:p w14:paraId="0FE545E3" w14:textId="129F6E23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465B4F81" w14:textId="77777777" w:rsidTr="00A042B5">
        <w:tc>
          <w:tcPr>
            <w:tcW w:w="704" w:type="dxa"/>
          </w:tcPr>
          <w:p w14:paraId="241F5909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61A774A0" w14:textId="673865E6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отрим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уватися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термінів надання відповідей на звернення громадян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ст. 38 Закону України «Про повну загальну середню освіту» та ст. 20 Закону України «Про звернення громадян»</w:t>
            </w:r>
          </w:p>
        </w:tc>
        <w:tc>
          <w:tcPr>
            <w:tcW w:w="1559" w:type="dxa"/>
          </w:tcPr>
          <w:p w14:paraId="70320D77" w14:textId="5D25F7B1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4B3B8B49" w14:textId="7EE89CFB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7307DD80" w14:textId="77777777" w:rsidTr="00A042B5">
        <w:tc>
          <w:tcPr>
            <w:tcW w:w="704" w:type="dxa"/>
          </w:tcPr>
          <w:p w14:paraId="3805D57D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52DBFD24" w14:textId="6132C6B2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рганіз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увати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інтернатур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для осіб, які не мали педагогічного досвіду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д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отрим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анням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вимог ст. 23 Закону України «Про повну загальну середню освіту» </w:t>
            </w:r>
          </w:p>
        </w:tc>
        <w:tc>
          <w:tcPr>
            <w:tcW w:w="1559" w:type="dxa"/>
          </w:tcPr>
          <w:p w14:paraId="5C8B3B06" w14:textId="24C0F232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64643310" w14:textId="41032A83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43158847" w14:textId="77777777" w:rsidTr="00A042B5">
        <w:tc>
          <w:tcPr>
            <w:tcW w:w="704" w:type="dxa"/>
          </w:tcPr>
          <w:p w14:paraId="0FC97EE6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4015F9B9" w14:textId="06D6E948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ф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ормування та забезпечення реалізації політики  академічної доброчесності для всіх учасників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складанні річного плану 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1559" w:type="dxa"/>
          </w:tcPr>
          <w:p w14:paraId="261A0294" w14:textId="22A1700B" w:rsidR="00420DEA" w:rsidRPr="00AD6BD1" w:rsidRDefault="0008246E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щорічно, під час підготовки плану роботи</w:t>
            </w:r>
          </w:p>
        </w:tc>
        <w:tc>
          <w:tcPr>
            <w:tcW w:w="2551" w:type="dxa"/>
          </w:tcPr>
          <w:p w14:paraId="4EE1AF79" w14:textId="7E87A3B1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0D191AE1" w14:textId="77777777" w:rsidTr="00A042B5">
        <w:tc>
          <w:tcPr>
            <w:tcW w:w="704" w:type="dxa"/>
          </w:tcPr>
          <w:p w14:paraId="2C19E509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78744A8E" w14:textId="1E355B43" w:rsidR="00420DEA" w:rsidRPr="00AD6BD1" w:rsidRDefault="0008246E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Сприяти ф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>ормуванн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 здорового харчування учасників освітнього процесу, здійсн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ювати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інформаційно-просвітницьк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щодо формування культури здорового харчування</w:t>
            </w:r>
          </w:p>
        </w:tc>
        <w:tc>
          <w:tcPr>
            <w:tcW w:w="1559" w:type="dxa"/>
          </w:tcPr>
          <w:p w14:paraId="205D23F2" w14:textId="5EAB8EAF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3038C638" w14:textId="567C43FA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1CC80122" w14:textId="77777777" w:rsidTr="00A042B5">
        <w:tc>
          <w:tcPr>
            <w:tcW w:w="704" w:type="dxa"/>
          </w:tcPr>
          <w:p w14:paraId="1728D6A0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14BE6409" w14:textId="463F7FE1" w:rsidR="00420DEA" w:rsidRPr="00AD6BD1" w:rsidRDefault="0008246E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д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>отрим</w:t>
            </w:r>
            <w:r w:rsidR="00420DEA">
              <w:rPr>
                <w:rFonts w:ascii="Times New Roman" w:hAnsi="Times New Roman" w:cs="Times New Roman"/>
                <w:sz w:val="24"/>
                <w:szCs w:val="24"/>
              </w:rPr>
              <w:t>ання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гігієни навчання при проведенні навчальних занять: </w:t>
            </w:r>
            <w:r w:rsidR="00420DEA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r w:rsidR="00420DEA"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вправ для збереження зору, постави, пальчикову гімнастику, фізкультхвилинки тощо</w:t>
            </w:r>
            <w:r w:rsidR="00420DEA">
              <w:rPr>
                <w:rFonts w:ascii="Times New Roman" w:hAnsi="Times New Roman" w:cs="Times New Roman"/>
                <w:sz w:val="24"/>
                <w:szCs w:val="24"/>
              </w:rPr>
              <w:t xml:space="preserve"> під час освітнього процесу</w:t>
            </w:r>
          </w:p>
        </w:tc>
        <w:tc>
          <w:tcPr>
            <w:tcW w:w="1559" w:type="dxa"/>
          </w:tcPr>
          <w:p w14:paraId="671071AD" w14:textId="2745C158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7CE5F3D4" w14:textId="1732261C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1D1A8E11" w14:textId="77777777" w:rsidTr="00A042B5">
        <w:tc>
          <w:tcPr>
            <w:tcW w:w="704" w:type="dxa"/>
          </w:tcPr>
          <w:p w14:paraId="3FE0253B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150124E6" w14:textId="0A6B5BF3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</w:t>
            </w:r>
            <w:r w:rsidR="0008246E">
              <w:rPr>
                <w:rFonts w:ascii="Times New Roman" w:hAnsi="Times New Roman" w:cs="Times New Roman"/>
                <w:sz w:val="24"/>
                <w:szCs w:val="24"/>
              </w:rPr>
              <w:t>овувати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="00E77B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для здобувачів освіти з розвитку читацької грамотності та компетенції</w:t>
            </w:r>
          </w:p>
        </w:tc>
        <w:tc>
          <w:tcPr>
            <w:tcW w:w="1559" w:type="dxa"/>
          </w:tcPr>
          <w:p w14:paraId="67F14493" w14:textId="5256499A" w:rsidR="00420DEA" w:rsidRPr="00AD6BD1" w:rsidRDefault="00E77BD5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з річним планом роботи</w:t>
            </w:r>
          </w:p>
        </w:tc>
        <w:tc>
          <w:tcPr>
            <w:tcW w:w="2551" w:type="dxa"/>
          </w:tcPr>
          <w:p w14:paraId="2DE09E02" w14:textId="0CD68963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51B5CD5F" w14:textId="77777777" w:rsidTr="00A042B5">
        <w:tc>
          <w:tcPr>
            <w:tcW w:w="704" w:type="dxa"/>
          </w:tcPr>
          <w:p w14:paraId="1EC8E5C3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1C233D8A" w14:textId="4DA53C70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озроб</w:t>
            </w:r>
            <w:r w:rsidR="004C1441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критерії оцінювання результатів навчання учнів під час проведення обов’язкових видів робіт з навчальних  предметів</w:t>
            </w:r>
          </w:p>
        </w:tc>
        <w:tc>
          <w:tcPr>
            <w:tcW w:w="1559" w:type="dxa"/>
          </w:tcPr>
          <w:p w14:paraId="0EFC867E" w14:textId="2284C907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551" w:type="dxa"/>
          </w:tcPr>
          <w:p w14:paraId="08C03B76" w14:textId="46203D9D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2D0F8995" w14:textId="77777777" w:rsidTr="00A042B5">
        <w:tc>
          <w:tcPr>
            <w:tcW w:w="704" w:type="dxa"/>
          </w:tcPr>
          <w:p w14:paraId="4694957F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4D37F6C3" w14:textId="6A426D45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нформува</w:t>
            </w:r>
            <w:r w:rsidR="004C144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про критерії та процедури оцінювання їх результатів навчання</w:t>
            </w:r>
          </w:p>
        </w:tc>
        <w:tc>
          <w:tcPr>
            <w:tcW w:w="1559" w:type="dxa"/>
          </w:tcPr>
          <w:p w14:paraId="77027792" w14:textId="7BF3CA66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551" w:type="dxa"/>
          </w:tcPr>
          <w:p w14:paraId="34B208FC" w14:textId="3C5D2F4A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420DEA" w14:paraId="1D57C86C" w14:textId="77777777" w:rsidTr="00A042B5">
        <w:tc>
          <w:tcPr>
            <w:tcW w:w="704" w:type="dxa"/>
          </w:tcPr>
          <w:p w14:paraId="481DF165" w14:textId="77777777" w:rsidR="00420DEA" w:rsidRPr="00AD6BD1" w:rsidRDefault="00420DEA" w:rsidP="00420DEA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3FC2887B" w14:textId="28FB2F59" w:rsidR="00420DEA" w:rsidRPr="00AD6BD1" w:rsidRDefault="00420DEA" w:rsidP="00420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икорист</w:t>
            </w:r>
            <w:r w:rsidR="00706D01">
              <w:rPr>
                <w:rFonts w:ascii="Times New Roman" w:hAnsi="Times New Roman" w:cs="Times New Roman"/>
                <w:sz w:val="24"/>
                <w:szCs w:val="24"/>
              </w:rPr>
              <w:t>овувати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інформаційно-комунікаційн</w:t>
            </w:r>
            <w:r w:rsidR="00706D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, ігров</w:t>
            </w:r>
            <w:r w:rsidR="00706D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технології, інтегрован</w:t>
            </w:r>
            <w:r w:rsidR="00706D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навчання, проєктні та STEM-технології в освітньому процесі, що сприяють оволодінню учнями ключови</w:t>
            </w:r>
            <w:r w:rsidR="00706D0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</w:t>
            </w:r>
            <w:r w:rsidR="00706D01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1559" w:type="dxa"/>
          </w:tcPr>
          <w:p w14:paraId="24FAB9E4" w14:textId="35BF1559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551" w:type="dxa"/>
          </w:tcPr>
          <w:p w14:paraId="41BA2630" w14:textId="425D619F" w:rsidR="00420DEA" w:rsidRPr="00AD6BD1" w:rsidRDefault="00420DEA" w:rsidP="0042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706D01" w14:paraId="2F5E0499" w14:textId="77777777" w:rsidTr="00A042B5">
        <w:tc>
          <w:tcPr>
            <w:tcW w:w="704" w:type="dxa"/>
          </w:tcPr>
          <w:p w14:paraId="361BBAA5" w14:textId="77777777" w:rsidR="00706D01" w:rsidRPr="00AD6BD1" w:rsidRDefault="00706D01" w:rsidP="00706D01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60D41299" w14:textId="4F6AE5DB" w:rsidR="00706D01" w:rsidRPr="00AD6BD1" w:rsidRDefault="00706D01" w:rsidP="0070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ормува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у здобувачів освіти навич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співпраці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розви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вати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командної роботи, зокрема шляхом організації роботи під час навчальних занять у групах/парах</w:t>
            </w:r>
          </w:p>
        </w:tc>
        <w:tc>
          <w:tcPr>
            <w:tcW w:w="1559" w:type="dxa"/>
          </w:tcPr>
          <w:p w14:paraId="42DA5C70" w14:textId="79312787" w:rsidR="00706D01" w:rsidRPr="00AD6BD1" w:rsidRDefault="00706D01" w:rsidP="0070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551" w:type="dxa"/>
          </w:tcPr>
          <w:p w14:paraId="4E18FAE5" w14:textId="2BAD4129" w:rsidR="00706D01" w:rsidRPr="00AD6BD1" w:rsidRDefault="00706D01" w:rsidP="0070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706D01" w14:paraId="304F4D9A" w14:textId="77777777" w:rsidTr="00A042B5">
        <w:tc>
          <w:tcPr>
            <w:tcW w:w="704" w:type="dxa"/>
          </w:tcPr>
          <w:p w14:paraId="50F97AF6" w14:textId="77777777" w:rsidR="00706D01" w:rsidRPr="00AD6BD1" w:rsidRDefault="00706D01" w:rsidP="00706D01">
            <w:pPr>
              <w:pStyle w:val="a3"/>
              <w:numPr>
                <w:ilvl w:val="0"/>
                <w:numId w:val="4"/>
              </w:numPr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0DEF0DA1" w14:textId="264C3D6D" w:rsidR="00706D01" w:rsidRPr="00AD6BD1" w:rsidRDefault="00706D01" w:rsidP="00706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Сприяти с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енню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блог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/сторін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з навчальних предметів, оприлюдн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енню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розроб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 xml:space="preserve"> на освітніх онлайн-платформах, у професійних спільнотах соціальних 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D6BD1">
              <w:rPr>
                <w:rFonts w:ascii="Times New Roman" w:hAnsi="Times New Roman" w:cs="Times New Roman"/>
                <w:sz w:val="24"/>
                <w:szCs w:val="24"/>
              </w:rPr>
              <w:t>, публікаціях на вебсайтах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1559" w:type="dxa"/>
          </w:tcPr>
          <w:p w14:paraId="26EAA04C" w14:textId="3E7654C8" w:rsidR="00706D01" w:rsidRPr="00AD6BD1" w:rsidRDefault="00706D01" w:rsidP="0070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</w:tcPr>
          <w:p w14:paraId="1214500A" w14:textId="70C366C6" w:rsidR="00706D01" w:rsidRPr="00AD6BD1" w:rsidRDefault="00706D01" w:rsidP="0070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</w:tbl>
    <w:p w14:paraId="67E4DF0A" w14:textId="524D5F8B" w:rsidR="00E51F54" w:rsidRDefault="00E51F54"/>
    <w:p w14:paraId="7D573A53" w14:textId="77777777" w:rsidR="00E51F54" w:rsidRDefault="00E51F54"/>
    <w:sectPr w:rsidR="00E51F54" w:rsidSect="00D926C4">
      <w:headerReference w:type="default" r:id="rId7"/>
      <w:pgSz w:w="11906" w:h="16838"/>
      <w:pgMar w:top="1135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6D69F" w14:textId="77777777" w:rsidR="00B44DC5" w:rsidRDefault="00B44DC5" w:rsidP="00B44DC5">
      <w:pPr>
        <w:spacing w:after="0" w:line="240" w:lineRule="auto"/>
      </w:pPr>
      <w:r>
        <w:separator/>
      </w:r>
    </w:p>
  </w:endnote>
  <w:endnote w:type="continuationSeparator" w:id="0">
    <w:p w14:paraId="7B001365" w14:textId="77777777" w:rsidR="00B44DC5" w:rsidRDefault="00B44DC5" w:rsidP="00B4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26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E981A" w14:textId="77777777" w:rsidR="00B44DC5" w:rsidRDefault="00B44DC5" w:rsidP="00B44DC5">
      <w:pPr>
        <w:spacing w:after="0" w:line="240" w:lineRule="auto"/>
      </w:pPr>
      <w:r>
        <w:separator/>
      </w:r>
    </w:p>
  </w:footnote>
  <w:footnote w:type="continuationSeparator" w:id="0">
    <w:p w14:paraId="7DD9DCDF" w14:textId="77777777" w:rsidR="00B44DC5" w:rsidRDefault="00B44DC5" w:rsidP="00B4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412690"/>
      <w:docPartObj>
        <w:docPartGallery w:val="Page Numbers (Top of Page)"/>
        <w:docPartUnique/>
      </w:docPartObj>
    </w:sdtPr>
    <w:sdtEndPr/>
    <w:sdtContent>
      <w:p w14:paraId="1E1ABB81" w14:textId="1C9C4366" w:rsidR="00B44DC5" w:rsidRDefault="00B44D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94D" w:rsidRPr="0038594D">
          <w:rPr>
            <w:noProof/>
            <w:lang w:val="ru-RU"/>
          </w:rPr>
          <w:t>4</w:t>
        </w:r>
        <w:r>
          <w:fldChar w:fldCharType="end"/>
        </w:r>
      </w:p>
    </w:sdtContent>
  </w:sdt>
  <w:p w14:paraId="1B927ACB" w14:textId="77777777" w:rsidR="00B44DC5" w:rsidRDefault="00B44D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5017"/>
    <w:multiLevelType w:val="hybridMultilevel"/>
    <w:tmpl w:val="298081E0"/>
    <w:lvl w:ilvl="0" w:tplc="5A84F74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A05F63"/>
    <w:multiLevelType w:val="hybridMultilevel"/>
    <w:tmpl w:val="2FC05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66E"/>
    <w:multiLevelType w:val="hybridMultilevel"/>
    <w:tmpl w:val="26FE27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DAA"/>
    <w:multiLevelType w:val="multilevel"/>
    <w:tmpl w:val="1D7A1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64BC4611"/>
    <w:multiLevelType w:val="hybridMultilevel"/>
    <w:tmpl w:val="73FACF56"/>
    <w:lvl w:ilvl="0" w:tplc="92040C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80"/>
    <w:rsid w:val="00027736"/>
    <w:rsid w:val="00030C9B"/>
    <w:rsid w:val="00034FAB"/>
    <w:rsid w:val="0008246E"/>
    <w:rsid w:val="000A5BA2"/>
    <w:rsid w:val="000B220C"/>
    <w:rsid w:val="000B3A50"/>
    <w:rsid w:val="000F4E2A"/>
    <w:rsid w:val="00106C7F"/>
    <w:rsid w:val="0011041A"/>
    <w:rsid w:val="001337C4"/>
    <w:rsid w:val="001414D4"/>
    <w:rsid w:val="00193697"/>
    <w:rsid w:val="001E2F5F"/>
    <w:rsid w:val="00222866"/>
    <w:rsid w:val="00246E51"/>
    <w:rsid w:val="002A1FBA"/>
    <w:rsid w:val="00310336"/>
    <w:rsid w:val="00356901"/>
    <w:rsid w:val="0038594D"/>
    <w:rsid w:val="003A75E6"/>
    <w:rsid w:val="003E0D82"/>
    <w:rsid w:val="003E27B3"/>
    <w:rsid w:val="00420DEA"/>
    <w:rsid w:val="00490F40"/>
    <w:rsid w:val="004A2BB0"/>
    <w:rsid w:val="004C1441"/>
    <w:rsid w:val="0052525C"/>
    <w:rsid w:val="005B639A"/>
    <w:rsid w:val="005E28E1"/>
    <w:rsid w:val="005F4288"/>
    <w:rsid w:val="005F5701"/>
    <w:rsid w:val="00686C05"/>
    <w:rsid w:val="006911C6"/>
    <w:rsid w:val="006972CF"/>
    <w:rsid w:val="006A2412"/>
    <w:rsid w:val="006C3174"/>
    <w:rsid w:val="00706D01"/>
    <w:rsid w:val="007139E5"/>
    <w:rsid w:val="00771783"/>
    <w:rsid w:val="007869F7"/>
    <w:rsid w:val="00795AF8"/>
    <w:rsid w:val="007A3D75"/>
    <w:rsid w:val="007F05C5"/>
    <w:rsid w:val="00855765"/>
    <w:rsid w:val="008568B7"/>
    <w:rsid w:val="00865CAA"/>
    <w:rsid w:val="0088012F"/>
    <w:rsid w:val="008E79B3"/>
    <w:rsid w:val="0092782F"/>
    <w:rsid w:val="00986B6D"/>
    <w:rsid w:val="009A649A"/>
    <w:rsid w:val="009F5AF3"/>
    <w:rsid w:val="00A01A80"/>
    <w:rsid w:val="00A042B5"/>
    <w:rsid w:val="00A0497F"/>
    <w:rsid w:val="00A1421B"/>
    <w:rsid w:val="00A15B69"/>
    <w:rsid w:val="00A24CF5"/>
    <w:rsid w:val="00A4387A"/>
    <w:rsid w:val="00A51184"/>
    <w:rsid w:val="00A553EC"/>
    <w:rsid w:val="00A717CD"/>
    <w:rsid w:val="00A7441B"/>
    <w:rsid w:val="00A856DA"/>
    <w:rsid w:val="00AB3ABA"/>
    <w:rsid w:val="00AC7768"/>
    <w:rsid w:val="00AD6BD1"/>
    <w:rsid w:val="00B06AF2"/>
    <w:rsid w:val="00B12AF3"/>
    <w:rsid w:val="00B44DC5"/>
    <w:rsid w:val="00B8116F"/>
    <w:rsid w:val="00BA7A92"/>
    <w:rsid w:val="00C01B94"/>
    <w:rsid w:val="00C43B5E"/>
    <w:rsid w:val="00C7517A"/>
    <w:rsid w:val="00CA13FD"/>
    <w:rsid w:val="00CE092B"/>
    <w:rsid w:val="00D37D76"/>
    <w:rsid w:val="00D859C3"/>
    <w:rsid w:val="00D926C4"/>
    <w:rsid w:val="00DB2871"/>
    <w:rsid w:val="00DC66B4"/>
    <w:rsid w:val="00E1240C"/>
    <w:rsid w:val="00E14F31"/>
    <w:rsid w:val="00E23DD8"/>
    <w:rsid w:val="00E51F54"/>
    <w:rsid w:val="00E77BD5"/>
    <w:rsid w:val="00ED3F08"/>
    <w:rsid w:val="00EF0DFE"/>
    <w:rsid w:val="00F30293"/>
    <w:rsid w:val="00F43ABB"/>
    <w:rsid w:val="00F60DCF"/>
    <w:rsid w:val="00F66E5A"/>
    <w:rsid w:val="00F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775D"/>
  <w15:chartTrackingRefBased/>
  <w15:docId w15:val="{03D2EA11-0496-407A-A559-B09D465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80"/>
    <w:pPr>
      <w:ind w:left="720"/>
      <w:contextualSpacing/>
    </w:pPr>
  </w:style>
  <w:style w:type="table" w:styleId="a4">
    <w:name w:val="Table Grid"/>
    <w:basedOn w:val="a1"/>
    <w:uiPriority w:val="39"/>
    <w:rsid w:val="001E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265,baiaagaaboqcaaadc0caaawbrwaaaaaaaaaaaaaaaaaaaaaaaaaaaaaaaaaaaaaaaaaaaaaaaaaaaaaaaaaaaaaaaaaaaaaaaaaaaaaaaaaaaaaaaaaaaaaaaaaaaaaaaaaaaaaaaaaaaaaaaaaaaaaaaaaaaaaaaaaaaaaaaaaaaaaaaaaaaaaaaaaaaaaaaaaaaaaaaaaaaaaaaaaaaaaaaaaaaaaaaaaaaaa"/>
    <w:basedOn w:val="a"/>
    <w:rsid w:val="00ED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ED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B44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DC5"/>
  </w:style>
  <w:style w:type="paragraph" w:styleId="a8">
    <w:name w:val="footer"/>
    <w:basedOn w:val="a"/>
    <w:link w:val="a9"/>
    <w:uiPriority w:val="99"/>
    <w:unhideWhenUsed/>
    <w:rsid w:val="00B44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DC5"/>
  </w:style>
  <w:style w:type="character" w:styleId="aa">
    <w:name w:val="Strong"/>
    <w:basedOn w:val="a0"/>
    <w:uiPriority w:val="22"/>
    <w:qFormat/>
    <w:rsid w:val="005B639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E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0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5248</Words>
  <Characters>2992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31</cp:revision>
  <cp:lastPrinted>2025-06-30T12:42:00Z</cp:lastPrinted>
  <dcterms:created xsi:type="dcterms:W3CDTF">2025-06-27T11:55:00Z</dcterms:created>
  <dcterms:modified xsi:type="dcterms:W3CDTF">2025-07-01T06:10:00Z</dcterms:modified>
</cp:coreProperties>
</file>